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8514C" w14:textId="77777777" w:rsidR="008050FD" w:rsidRPr="002E2317" w:rsidRDefault="008050FD" w:rsidP="008050FD">
      <w:pPr>
        <w:jc w:val="center"/>
        <w:rPr>
          <w:rFonts w:ascii="Times New Roman" w:hAnsi="Times New Roman" w:cs="Times New Roman"/>
          <w:b/>
          <w:bCs/>
          <w:spacing w:val="-6"/>
          <w:sz w:val="36"/>
          <w:szCs w:val="36"/>
        </w:rPr>
      </w:pPr>
      <w:bookmarkStart w:id="0" w:name="_Hlk106166244"/>
      <w:bookmarkEnd w:id="0"/>
      <w:r w:rsidRPr="002E2317">
        <w:rPr>
          <w:rFonts w:ascii="Times New Roman" w:hAnsi="Times New Roman" w:cs="Times New Roman"/>
          <w:b/>
          <w:bCs/>
          <w:spacing w:val="-6"/>
          <w:sz w:val="36"/>
          <w:szCs w:val="36"/>
        </w:rPr>
        <w:t>Value of Platelet Rich Fibrin as Surgical Adjuvant in Management of Mandibular Fracture.</w:t>
      </w:r>
    </w:p>
    <w:p w14:paraId="14CCAEBD" w14:textId="77777777" w:rsidR="008050FD" w:rsidRDefault="008050FD" w:rsidP="008050FD">
      <w:pPr>
        <w:spacing w:after="90"/>
        <w:rPr>
          <w:rFonts w:ascii="Times New Roman" w:hAnsi="Times New Roman" w:cs="Times New Roman"/>
          <w:b/>
          <w:bCs/>
          <w:sz w:val="32"/>
          <w:szCs w:val="32"/>
        </w:rPr>
      </w:pPr>
    </w:p>
    <w:p w14:paraId="53163BBD" w14:textId="77777777" w:rsidR="008050FD" w:rsidRDefault="008050FD" w:rsidP="008050FD">
      <w:pPr>
        <w:spacing w:after="90"/>
        <w:rPr>
          <w:rFonts w:ascii="Times New Roman" w:hAnsi="Times New Roman" w:cs="Times New Roman"/>
          <w:b/>
          <w:bCs/>
          <w:sz w:val="32"/>
          <w:szCs w:val="32"/>
        </w:rPr>
      </w:pPr>
    </w:p>
    <w:p w14:paraId="3C6111B2" w14:textId="0B583C84" w:rsidR="008050FD" w:rsidRPr="002E2317" w:rsidRDefault="008050FD" w:rsidP="008050FD">
      <w:pPr>
        <w:spacing w:after="90"/>
        <w:rPr>
          <w:rFonts w:ascii="Times New Roman" w:hAnsi="Times New Roman" w:cs="Times New Roman"/>
          <w:sz w:val="32"/>
          <w:szCs w:val="32"/>
        </w:rPr>
      </w:pPr>
      <w:r w:rsidRPr="002E2317">
        <w:rPr>
          <w:rFonts w:ascii="Times New Roman" w:hAnsi="Times New Roman" w:cs="Times New Roman"/>
          <w:b/>
          <w:bCs/>
          <w:sz w:val="32"/>
          <w:szCs w:val="32"/>
        </w:rPr>
        <w:t>Abstract</w:t>
      </w:r>
    </w:p>
    <w:p w14:paraId="72F0BB11" w14:textId="77777777" w:rsidR="008050FD" w:rsidRPr="00BF3C0C" w:rsidRDefault="008050FD" w:rsidP="008050FD">
      <w:pPr>
        <w:spacing w:after="90"/>
        <w:jc w:val="both"/>
        <w:rPr>
          <w:rFonts w:ascii="Times New Roman" w:hAnsi="Times New Roman" w:cs="Times New Roman"/>
          <w:sz w:val="28"/>
          <w:szCs w:val="28"/>
        </w:rPr>
      </w:pPr>
      <w:r w:rsidRPr="00BF3C0C">
        <w:rPr>
          <w:rFonts w:ascii="Times New Roman" w:hAnsi="Times New Roman" w:cs="Times New Roman"/>
          <w:b/>
          <w:bCs/>
          <w:sz w:val="28"/>
          <w:szCs w:val="28"/>
        </w:rPr>
        <w:t>Objectives:</w:t>
      </w:r>
      <w:r w:rsidRPr="00BF3C0C">
        <w:rPr>
          <w:rFonts w:ascii="Times New Roman" w:hAnsi="Times New Roman" w:cs="Times New Roman"/>
          <w:sz w:val="28"/>
          <w:szCs w:val="28"/>
        </w:rPr>
        <w:t xml:space="preserve"> The aim of this study is to evaluate the effect of Platelet Rich Fibrin (PRF) in bone regeneration and healing in cases of fracture mandible.</w:t>
      </w:r>
    </w:p>
    <w:p w14:paraId="1845807A" w14:textId="77777777" w:rsidR="008050FD" w:rsidRPr="00BF3C0C" w:rsidRDefault="008050FD" w:rsidP="008050FD">
      <w:pPr>
        <w:spacing w:after="90"/>
        <w:jc w:val="both"/>
        <w:rPr>
          <w:rFonts w:ascii="Times New Roman" w:hAnsi="Times New Roman" w:cs="Times New Roman"/>
          <w:sz w:val="28"/>
          <w:szCs w:val="28"/>
        </w:rPr>
      </w:pPr>
      <w:r w:rsidRPr="00BF3C0C">
        <w:rPr>
          <w:rFonts w:ascii="Times New Roman" w:hAnsi="Times New Roman" w:cs="Times New Roman"/>
          <w:b/>
          <w:bCs/>
          <w:sz w:val="28"/>
          <w:szCs w:val="28"/>
        </w:rPr>
        <w:t>Patients and Methods:</w:t>
      </w:r>
      <w:r w:rsidRPr="00BF3C0C">
        <w:rPr>
          <w:rFonts w:ascii="Times New Roman" w:hAnsi="Times New Roman" w:cs="Times New Roman"/>
          <w:sz w:val="28"/>
          <w:szCs w:val="28"/>
        </w:rPr>
        <w:t xml:space="preserve"> Forty patients diagnosed clinically and radiographically with mandibular fracture treated with open reduction and rigid internal fixation, they were randomly divided into two groups (n=20), either Group A (Fixation with plates and screws with PRF membrane along the fracture line) or Group B (Fixation with platelet and screws only). Mean Bone Density was assessed via Computed tomography at 1week, 3 months, 6 months postoperative. </w:t>
      </w:r>
      <w:bookmarkStart w:id="1" w:name="_Hlk106264156"/>
      <w:r w:rsidRPr="00BF3C0C">
        <w:rPr>
          <w:rFonts w:ascii="Times New Roman" w:hAnsi="Times New Roman" w:cs="Times New Roman"/>
          <w:sz w:val="28"/>
          <w:szCs w:val="28"/>
        </w:rPr>
        <w:t>The pain was assessed using numerical rating scale (NRS) during 1</w:t>
      </w:r>
      <w:r w:rsidRPr="00BF3C0C">
        <w:rPr>
          <w:rFonts w:ascii="Times New Roman" w:hAnsi="Times New Roman" w:cs="Times New Roman"/>
          <w:sz w:val="28"/>
          <w:szCs w:val="28"/>
          <w:vertAlign w:val="superscript"/>
        </w:rPr>
        <w:t>st</w:t>
      </w:r>
      <w:r w:rsidRPr="00BF3C0C">
        <w:rPr>
          <w:rFonts w:ascii="Times New Roman" w:hAnsi="Times New Roman" w:cs="Times New Roman"/>
          <w:sz w:val="28"/>
          <w:szCs w:val="28"/>
        </w:rPr>
        <w:t>, 3</w:t>
      </w:r>
      <w:r w:rsidRPr="00BF3C0C">
        <w:rPr>
          <w:rFonts w:ascii="Times New Roman" w:hAnsi="Times New Roman" w:cs="Times New Roman"/>
          <w:sz w:val="28"/>
          <w:szCs w:val="28"/>
          <w:vertAlign w:val="superscript"/>
        </w:rPr>
        <w:t>rd</w:t>
      </w:r>
      <w:r w:rsidRPr="00BF3C0C">
        <w:rPr>
          <w:rFonts w:ascii="Times New Roman" w:hAnsi="Times New Roman" w:cs="Times New Roman"/>
          <w:sz w:val="28"/>
          <w:szCs w:val="28"/>
        </w:rPr>
        <w:t xml:space="preserve"> day and 1 week postoperatively, as well as maximum mouth opening</w:t>
      </w:r>
      <w:bookmarkEnd w:id="1"/>
      <w:r w:rsidRPr="00BF3C0C">
        <w:rPr>
          <w:rFonts w:ascii="Times New Roman" w:hAnsi="Times New Roman" w:cs="Times New Roman"/>
          <w:sz w:val="28"/>
          <w:szCs w:val="28"/>
        </w:rPr>
        <w:t>. </w:t>
      </w:r>
    </w:p>
    <w:p w14:paraId="3D5E8131" w14:textId="77777777" w:rsidR="008050FD" w:rsidRPr="00BF3C0C" w:rsidRDefault="008050FD" w:rsidP="008050FD">
      <w:pPr>
        <w:spacing w:after="90"/>
        <w:jc w:val="both"/>
        <w:rPr>
          <w:rFonts w:ascii="Times New Roman" w:hAnsi="Times New Roman" w:cs="Times New Roman"/>
          <w:sz w:val="28"/>
          <w:szCs w:val="28"/>
        </w:rPr>
      </w:pPr>
      <w:r w:rsidRPr="00BF3C0C">
        <w:rPr>
          <w:rFonts w:ascii="Times New Roman" w:hAnsi="Times New Roman" w:cs="Times New Roman"/>
          <w:b/>
          <w:bCs/>
          <w:sz w:val="28"/>
          <w:szCs w:val="28"/>
        </w:rPr>
        <w:t>Results:</w:t>
      </w:r>
      <w:r w:rsidRPr="00BF3C0C">
        <w:rPr>
          <w:rFonts w:ascii="Times New Roman" w:hAnsi="Times New Roman" w:cs="Times New Roman"/>
          <w:sz w:val="28"/>
          <w:szCs w:val="28"/>
        </w:rPr>
        <w:t xml:space="preserve"> Faster bone regeneration was observed in the study group. </w:t>
      </w:r>
      <w:bookmarkStart w:id="2" w:name="_Hlk106265998"/>
      <w:r w:rsidRPr="00BF3C0C">
        <w:rPr>
          <w:rFonts w:ascii="Times New Roman" w:hAnsi="Times New Roman" w:cs="Times New Roman"/>
          <w:sz w:val="28"/>
          <w:szCs w:val="28"/>
        </w:rPr>
        <w:t>The mean bone density was for study group at 1week, 3 months and 6 months 270.80±79.60, 575.40±83.49 and 890.10±130.55 respectively, in contrast to control group where the mean bone density was 223.00±53.53, 408.80±76.59 and 635.80±94.58 for 1 week, 3months and 6 months respectively</w:t>
      </w:r>
      <w:bookmarkEnd w:id="2"/>
      <w:r w:rsidRPr="00BF3C0C">
        <w:rPr>
          <w:rFonts w:ascii="Times New Roman" w:hAnsi="Times New Roman" w:cs="Times New Roman"/>
          <w:sz w:val="28"/>
          <w:szCs w:val="28"/>
        </w:rPr>
        <w:t>, there was no statistically significant difference as regard pain and maximum mouth opening between both groups.</w:t>
      </w:r>
    </w:p>
    <w:p w14:paraId="6D8F0978" w14:textId="77777777" w:rsidR="008050FD" w:rsidRPr="00BF3C0C" w:rsidRDefault="008050FD" w:rsidP="008050FD">
      <w:pPr>
        <w:spacing w:after="90"/>
        <w:jc w:val="both"/>
        <w:rPr>
          <w:rFonts w:ascii="Times New Roman" w:hAnsi="Times New Roman" w:cs="Times New Roman"/>
          <w:sz w:val="28"/>
          <w:szCs w:val="28"/>
        </w:rPr>
      </w:pPr>
      <w:r w:rsidRPr="00BF3C0C">
        <w:rPr>
          <w:rFonts w:ascii="Times New Roman" w:hAnsi="Times New Roman" w:cs="Times New Roman"/>
          <w:b/>
          <w:bCs/>
          <w:sz w:val="28"/>
          <w:szCs w:val="28"/>
        </w:rPr>
        <w:t xml:space="preserve">Conclusion: </w:t>
      </w:r>
      <w:r w:rsidRPr="00BF3C0C">
        <w:rPr>
          <w:rFonts w:ascii="Times New Roman" w:hAnsi="Times New Roman" w:cs="Times New Roman"/>
          <w:sz w:val="28"/>
          <w:szCs w:val="28"/>
        </w:rPr>
        <w:t>PRF could be considered as an adjuvant to accelerate bone healing in mandibular fractures and valid option in regenerative therapies in maxillofacial surgeries.</w:t>
      </w:r>
    </w:p>
    <w:p w14:paraId="236B242D" w14:textId="77777777" w:rsidR="008050FD" w:rsidRPr="00BF3C0C" w:rsidRDefault="008050FD" w:rsidP="008050FD">
      <w:pPr>
        <w:spacing w:after="90"/>
        <w:jc w:val="both"/>
        <w:rPr>
          <w:rFonts w:ascii="Times New Roman" w:hAnsi="Times New Roman" w:cs="Times New Roman"/>
          <w:sz w:val="28"/>
          <w:szCs w:val="28"/>
        </w:rPr>
      </w:pPr>
      <w:r w:rsidRPr="00BF3C0C">
        <w:rPr>
          <w:rFonts w:ascii="Times New Roman" w:hAnsi="Times New Roman" w:cs="Times New Roman"/>
          <w:b/>
          <w:bCs/>
          <w:sz w:val="28"/>
          <w:szCs w:val="28"/>
        </w:rPr>
        <w:t>Keywords</w:t>
      </w:r>
    </w:p>
    <w:p w14:paraId="60579542" w14:textId="77777777" w:rsidR="008050FD" w:rsidRPr="00BF3C0C" w:rsidRDefault="008050FD" w:rsidP="008050FD">
      <w:pPr>
        <w:spacing w:after="90"/>
        <w:rPr>
          <w:rFonts w:ascii="Times New Roman" w:hAnsi="Times New Roman" w:cs="Times New Roman"/>
          <w:sz w:val="28"/>
          <w:szCs w:val="28"/>
        </w:rPr>
      </w:pPr>
      <w:r w:rsidRPr="00BF3C0C">
        <w:rPr>
          <w:rFonts w:ascii="Times New Roman" w:hAnsi="Times New Roman" w:cs="Times New Roman"/>
          <w:sz w:val="28"/>
          <w:szCs w:val="28"/>
        </w:rPr>
        <w:t>Fracture Mandible, Platelet Rich Fibrin, Bone healing.</w:t>
      </w:r>
    </w:p>
    <w:p w14:paraId="1B05E6B0" w14:textId="77777777" w:rsidR="008050FD" w:rsidRPr="00CA5929" w:rsidRDefault="008050FD" w:rsidP="008050FD">
      <w:pPr>
        <w:spacing w:after="90"/>
        <w:rPr>
          <w:rFonts w:ascii="Times New Roman" w:hAnsi="Times New Roman" w:cs="Times New Roman"/>
          <w:sz w:val="21"/>
          <w:szCs w:val="21"/>
        </w:rPr>
      </w:pPr>
    </w:p>
    <w:p w14:paraId="4C6F9C05" w14:textId="77777777" w:rsidR="008050FD" w:rsidRPr="002E2317" w:rsidRDefault="008050FD" w:rsidP="008050FD">
      <w:pPr>
        <w:rPr>
          <w:rFonts w:asciiTheme="majorBidi" w:hAnsiTheme="majorBidi" w:cstheme="majorBidi"/>
          <w:sz w:val="32"/>
          <w:szCs w:val="32"/>
        </w:rPr>
      </w:pPr>
      <w:r w:rsidRPr="002E2317">
        <w:rPr>
          <w:rFonts w:asciiTheme="majorBidi" w:hAnsiTheme="majorBidi" w:cstheme="majorBidi"/>
          <w:b/>
          <w:bCs/>
          <w:sz w:val="32"/>
          <w:szCs w:val="32"/>
        </w:rPr>
        <w:t>Introduction</w:t>
      </w:r>
    </w:p>
    <w:p w14:paraId="70C13A7D" w14:textId="787C30ED" w:rsidR="008050FD" w:rsidRPr="00BF3C0C" w:rsidRDefault="008050FD" w:rsidP="008050FD">
      <w:pPr>
        <w:spacing w:after="90"/>
        <w:jc w:val="both"/>
        <w:rPr>
          <w:rFonts w:asciiTheme="majorBidi" w:hAnsiTheme="majorBidi" w:cstheme="majorBidi"/>
          <w:sz w:val="28"/>
          <w:szCs w:val="28"/>
        </w:rPr>
      </w:pPr>
      <w:r w:rsidRPr="00BF3C0C">
        <w:rPr>
          <w:rFonts w:asciiTheme="majorBidi" w:hAnsiTheme="majorBidi" w:cstheme="majorBidi"/>
          <w:sz w:val="28"/>
          <w:szCs w:val="28"/>
        </w:rPr>
        <w:t xml:space="preserve">Mandible fractures account for a significant portion of maxillofacial injuries and the evaluation, diagnosis, and management of these fractures remain challenging despite improved imaging technology and fixation techniques. Understanding appropriate surgical management can prevent complications such as malocclusion, pain, and revision procedures. Depending on the type and location of the fractures, various open and closed surgical reduction techniques can be utilized </w:t>
      </w:r>
      <w:r w:rsidRPr="00BF3C0C">
        <w:rPr>
          <w:rFonts w:asciiTheme="majorBidi" w:hAnsiTheme="majorBidi" w:cstheme="majorBidi"/>
          <w:sz w:val="28"/>
          <w:szCs w:val="28"/>
        </w:rPr>
        <w:fldChar w:fldCharType="begin" w:fldLock="1"/>
      </w:r>
      <w:r w:rsidR="00D56DDE">
        <w:rPr>
          <w:rFonts w:asciiTheme="majorBidi" w:hAnsiTheme="majorBidi" w:cstheme="majorBidi"/>
          <w:sz w:val="28"/>
          <w:szCs w:val="28"/>
        </w:rPr>
        <w:instrText>ADDIN CSL_CITATION {"citationItems":[{"id":"ITEM-1","itemData":{"DOI":"10.1097/PRS.0000000000003469","ISSN":"0032-1052","author":[{"dropping-particle":"","family":"Pickrell","given":"Brent B.","non-dropping-particle":"","parse-names":false,"suffix":""},{"dropping-particle":"","family":"Hollier","given":"Larry H.","non-dropping-particle":"","parse-names":false,"suffix":""}],"container-title":"Plastic and Reconstructive Surgery","id":"ITEM-1","issue":"1","issued":{"date-parts":[["2017","7"]]},"page":"192e-200e","title":"Evidence-Based Medicine: Mandible Fractures","type":"article-journal","volume":"140"},"uris":["http://www.mendeley.com/documents/?uuid=83c102eb-962a-4a6c-8437-905ed1044492"]}],"mendeley":{"formattedCitation":"&lt;sup&gt;&lt;b&gt;(1)&lt;/b&gt;&lt;/sup&gt;","plainTextFormattedCitation":"(1)","previouslyFormattedCitation":"&lt;sup&gt;&lt;b&gt;(1)&lt;/b&gt;&lt;/sup&gt;"},"properties":{"noteIndex":0},"schema":"https://github.com/citation-style-language/schema/raw/master/csl-citation.json"}</w:instrText>
      </w:r>
      <w:r w:rsidRPr="00BF3C0C">
        <w:rPr>
          <w:rFonts w:asciiTheme="majorBidi" w:hAnsiTheme="majorBidi" w:cstheme="majorBidi"/>
          <w:sz w:val="28"/>
          <w:szCs w:val="28"/>
        </w:rPr>
        <w:fldChar w:fldCharType="separate"/>
      </w:r>
      <w:r w:rsidRPr="00BF3C0C">
        <w:rPr>
          <w:rFonts w:asciiTheme="majorBidi" w:hAnsiTheme="majorBidi" w:cstheme="majorBidi"/>
          <w:b/>
          <w:noProof/>
          <w:sz w:val="28"/>
          <w:szCs w:val="28"/>
          <w:vertAlign w:val="superscript"/>
        </w:rPr>
        <w:t>(1)</w:t>
      </w:r>
      <w:r w:rsidRPr="00BF3C0C">
        <w:rPr>
          <w:rFonts w:asciiTheme="majorBidi" w:hAnsiTheme="majorBidi" w:cstheme="majorBidi"/>
          <w:sz w:val="28"/>
          <w:szCs w:val="28"/>
        </w:rPr>
        <w:fldChar w:fldCharType="end"/>
      </w:r>
      <w:r w:rsidRPr="00BF3C0C">
        <w:rPr>
          <w:rFonts w:asciiTheme="majorBidi" w:hAnsiTheme="majorBidi" w:cstheme="majorBidi"/>
          <w:sz w:val="28"/>
          <w:szCs w:val="28"/>
        </w:rPr>
        <w:t>.</w:t>
      </w:r>
    </w:p>
    <w:p w14:paraId="3FEDC2F9" w14:textId="10EA4A40" w:rsidR="008050FD" w:rsidRPr="00BF3C0C" w:rsidRDefault="008050FD" w:rsidP="008050FD">
      <w:pPr>
        <w:spacing w:after="90"/>
        <w:jc w:val="both"/>
        <w:rPr>
          <w:rFonts w:asciiTheme="majorBidi" w:hAnsiTheme="majorBidi" w:cstheme="majorBidi"/>
          <w:b/>
          <w:i/>
          <w:sz w:val="28"/>
          <w:szCs w:val="28"/>
        </w:rPr>
      </w:pPr>
      <w:r w:rsidRPr="00BF3C0C">
        <w:rPr>
          <w:rFonts w:asciiTheme="majorBidi" w:hAnsiTheme="majorBidi" w:cstheme="majorBidi"/>
          <w:sz w:val="28"/>
          <w:szCs w:val="28"/>
        </w:rPr>
        <w:t>The healing of hard and soft tissues is mediated by a wide range of intra and extra-cellular events that are regulated by protein signals.</w:t>
      </w:r>
      <w:r w:rsidR="006A5EF7" w:rsidRPr="006A5EF7">
        <w:t xml:space="preserve"> </w:t>
      </w:r>
      <w:r w:rsidR="006A5EF7" w:rsidRPr="006A5EF7">
        <w:rPr>
          <w:rFonts w:asciiTheme="majorBidi" w:hAnsiTheme="majorBidi" w:cstheme="majorBidi"/>
          <w:sz w:val="28"/>
          <w:szCs w:val="28"/>
        </w:rPr>
        <w:t>Elsisy et al, suggested that chitosan is very effective in bone formation</w:t>
      </w:r>
      <w:r w:rsidR="00C576C0">
        <w:rPr>
          <w:rFonts w:asciiTheme="majorBidi" w:hAnsiTheme="majorBidi" w:cstheme="majorBidi"/>
          <w:sz w:val="28"/>
          <w:szCs w:val="28"/>
        </w:rPr>
        <w:fldChar w:fldCharType="begin" w:fldLock="1"/>
      </w:r>
      <w:r w:rsidR="00C576C0">
        <w:rPr>
          <w:rFonts w:asciiTheme="majorBidi" w:hAnsiTheme="majorBidi" w:cstheme="majorBidi"/>
          <w:sz w:val="28"/>
          <w:szCs w:val="28"/>
        </w:rPr>
        <w:instrText>ADDIN CSL_CITATION {"citationItems":[{"id":"ITEM-1","itemData":{"DOI":"10.4103/1012-5574.133202","ISSN":"1012-5574","author":[{"dropping-particle":"","family":"Elsisy","given":"Mosaad","non-dropping-particle":"","parse-names":false,"suffix":""},{"dropping-particle":"","family":"Elhamshary","given":"Ashraf","non-dropping-particle":"","parse-names":false,"suffix":""},{"dropping-particle":"","family":"Haroon","given":"Yasser M.","non-dropping-particle":"","parse-names":false,"suffix":""},{"dropping-particle":"","family":"Sallam","given":"Samira","non-dropping-particle":"","parse-names":false,"suffix":""}],"container-title":"The Egyptian Journal of Otolaryngology","id":"ITEM-1","issue":"2","issued":{"date-parts":[["2014","4","27"]]},"page":"94-101","title":"Effect of chitosan on bone restoration in nasal bone defect: An experimental study","type":"article-journal","volume":"30"},"uris":["http://www.mendeley.com/documents/?uuid=129ca6a8-2e97-48c8-a204-bb4ce8e39b40"]}],"mendeley":{"formattedCitation":"&lt;sup&gt;&lt;b&gt;(2)&lt;/b&gt;&lt;/sup&gt;","plainTextFormattedCitation":"(2)"},"properties":{"noteIndex":0},"schema":"https://github.com/citation-style-language/schema/raw/master/csl-citation.json"}</w:instrText>
      </w:r>
      <w:r w:rsidR="00C576C0">
        <w:rPr>
          <w:rFonts w:asciiTheme="majorBidi" w:hAnsiTheme="majorBidi" w:cstheme="majorBidi"/>
          <w:sz w:val="28"/>
          <w:szCs w:val="28"/>
        </w:rPr>
        <w:fldChar w:fldCharType="separate"/>
      </w:r>
      <w:r w:rsidR="00C576C0" w:rsidRPr="00C576C0">
        <w:rPr>
          <w:rFonts w:asciiTheme="majorBidi" w:hAnsiTheme="majorBidi" w:cstheme="majorBidi"/>
          <w:b/>
          <w:noProof/>
          <w:sz w:val="28"/>
          <w:szCs w:val="28"/>
          <w:vertAlign w:val="superscript"/>
        </w:rPr>
        <w:t>(2)</w:t>
      </w:r>
      <w:r w:rsidR="00C576C0">
        <w:rPr>
          <w:rFonts w:asciiTheme="majorBidi" w:hAnsiTheme="majorBidi" w:cstheme="majorBidi"/>
          <w:sz w:val="28"/>
          <w:szCs w:val="28"/>
        </w:rPr>
        <w:fldChar w:fldCharType="end"/>
      </w:r>
      <w:r w:rsidR="006A5EF7">
        <w:rPr>
          <w:rFonts w:asciiTheme="majorBidi" w:hAnsiTheme="majorBidi" w:cstheme="majorBidi"/>
          <w:sz w:val="28"/>
          <w:szCs w:val="28"/>
        </w:rPr>
        <w:t>. Also,</w:t>
      </w:r>
      <w:r w:rsidRPr="00BF3C0C">
        <w:rPr>
          <w:rFonts w:asciiTheme="majorBidi" w:hAnsiTheme="majorBidi" w:cstheme="majorBidi"/>
          <w:sz w:val="28"/>
          <w:szCs w:val="28"/>
        </w:rPr>
        <w:t xml:space="preserve"> It is known that platelets are involved in the process of healing through blood clot formation and release of </w:t>
      </w:r>
      <w:r w:rsidRPr="00BF3C0C">
        <w:rPr>
          <w:rFonts w:asciiTheme="majorBidi" w:hAnsiTheme="majorBidi" w:cstheme="majorBidi"/>
          <w:sz w:val="28"/>
          <w:szCs w:val="28"/>
        </w:rPr>
        <w:lastRenderedPageBreak/>
        <w:t xml:space="preserve">growth factors that promote and maintain healing  </w:t>
      </w:r>
      <w:r w:rsidRPr="00BF3C0C">
        <w:rPr>
          <w:rFonts w:asciiTheme="majorBidi" w:hAnsiTheme="majorBidi" w:cstheme="majorBidi"/>
          <w:sz w:val="28"/>
          <w:szCs w:val="28"/>
        </w:rPr>
        <w:fldChar w:fldCharType="begin" w:fldLock="1"/>
      </w:r>
      <w:r w:rsidR="00C576C0">
        <w:rPr>
          <w:rFonts w:asciiTheme="majorBidi" w:hAnsiTheme="majorBidi" w:cstheme="majorBidi"/>
          <w:sz w:val="28"/>
          <w:szCs w:val="28"/>
        </w:rPr>
        <w:instrText>ADDIN CSL_CITATION {"citationItems":[{"id":"ITEM-1","itemData":{"DOI":"10.13172/2052-7837-1-3-826","ISSN":"2052-7837","author":[{"dropping-particle":"","family":"Lauritano","given":"D","non-dropping-particle":"","parse-names":false,"suffix":""},{"dropping-particle":"","family":"Avantaggiato","given":"A","non-dropping-particle":"","parse-names":false,"suffix":""},{"dropping-particle":"","family":"Candotto","given":"V","non-dropping-particle":"","parse-names":false,"suffix":""},{"dropping-particle":"","family":"Zollino","given":"I","non-dropping-particle":"","parse-names":false,"suffix":""},{"dropping-particle":"","family":"Carinci","given":"F","non-dropping-particle":"","parse-names":false,"suffix":""}],"container-title":"Annals of Oral and Maxillofacial Surgery","id":"ITEM-1","issue":"3","issued":{"date-parts":[["2013","9"]]},"page":"1-5","title":"Is platelet-rich fibrin really useful in oral and maxillofacial surgery? Lights and shadows of this new technique","type":"article-journal","volume":"1"},"uris":["http://www.mendeley.com/documents/?uuid=f4867a87-f311-497f-892a-a9a4e86e38b6"]}],"mendeley":{"formattedCitation":"&lt;sup&gt;&lt;b&gt;(3)&lt;/b&gt;&lt;/sup&gt;","plainTextFormattedCitation":"(3)","previouslyFormattedCitation":"&lt;sup&gt;&lt;b&gt;(2)&lt;/b&gt;&lt;/sup&gt;"},"properties":{"noteIndex":0},"schema":"https://github.com/citation-style-language/schema/raw/master/csl-citation.json"}</w:instrText>
      </w:r>
      <w:r w:rsidRPr="00BF3C0C">
        <w:rPr>
          <w:rFonts w:asciiTheme="majorBidi" w:hAnsiTheme="majorBidi" w:cstheme="majorBidi"/>
          <w:sz w:val="28"/>
          <w:szCs w:val="28"/>
        </w:rPr>
        <w:fldChar w:fldCharType="separate"/>
      </w:r>
      <w:r w:rsidR="00C576C0" w:rsidRPr="00C576C0">
        <w:rPr>
          <w:rFonts w:asciiTheme="majorBidi" w:hAnsiTheme="majorBidi" w:cstheme="majorBidi"/>
          <w:b/>
          <w:noProof/>
          <w:sz w:val="28"/>
          <w:szCs w:val="28"/>
          <w:vertAlign w:val="superscript"/>
        </w:rPr>
        <w:t>(3)</w:t>
      </w:r>
      <w:r w:rsidRPr="00BF3C0C">
        <w:rPr>
          <w:rFonts w:asciiTheme="majorBidi" w:hAnsiTheme="majorBidi" w:cstheme="majorBidi"/>
          <w:sz w:val="28"/>
          <w:szCs w:val="28"/>
        </w:rPr>
        <w:fldChar w:fldCharType="end"/>
      </w:r>
      <w:r w:rsidRPr="00BF3C0C">
        <w:rPr>
          <w:rFonts w:asciiTheme="majorBidi" w:hAnsiTheme="majorBidi" w:cstheme="majorBidi"/>
          <w:b/>
          <w:i/>
          <w:sz w:val="28"/>
          <w:szCs w:val="28"/>
        </w:rPr>
        <w:t xml:space="preserve">, </w:t>
      </w:r>
      <w:r w:rsidRPr="00BF3C0C">
        <w:rPr>
          <w:rFonts w:asciiTheme="majorBidi" w:hAnsiTheme="majorBidi" w:cstheme="majorBidi"/>
          <w:sz w:val="28"/>
          <w:szCs w:val="28"/>
        </w:rPr>
        <w:t>therefore</w:t>
      </w:r>
      <w:r w:rsidRPr="00BF3C0C">
        <w:rPr>
          <w:rFonts w:asciiTheme="majorBidi" w:hAnsiTheme="majorBidi" w:cstheme="majorBidi"/>
          <w:b/>
          <w:i/>
          <w:sz w:val="28"/>
          <w:szCs w:val="28"/>
        </w:rPr>
        <w:t xml:space="preserve"> </w:t>
      </w:r>
      <w:r w:rsidRPr="00BF3C0C">
        <w:rPr>
          <w:rFonts w:asciiTheme="majorBidi" w:hAnsiTheme="majorBidi" w:cstheme="majorBidi"/>
          <w:sz w:val="28"/>
          <w:szCs w:val="28"/>
        </w:rPr>
        <w:t xml:space="preserve">one of the great challenges of clinical research has been the development of bioactive surgical additives, which help to regulate inflammation and increase the speed of healing process </w:t>
      </w:r>
      <w:r w:rsidRPr="00BF3C0C">
        <w:rPr>
          <w:rFonts w:asciiTheme="majorBidi" w:hAnsiTheme="majorBidi" w:cstheme="majorBidi"/>
          <w:sz w:val="28"/>
          <w:szCs w:val="28"/>
        </w:rPr>
        <w:fldChar w:fldCharType="begin" w:fldLock="1"/>
      </w:r>
      <w:r w:rsidR="00C576C0">
        <w:rPr>
          <w:rFonts w:asciiTheme="majorBidi" w:hAnsiTheme="majorBidi" w:cstheme="majorBidi"/>
          <w:sz w:val="28"/>
          <w:szCs w:val="28"/>
        </w:rPr>
        <w:instrText>ADDIN CSL_CITATION {"citationItems":[{"id":"ITEM-1","itemData":{"DOI":"10.1016/j.tripleo.2005.07.008","author":[{"dropping-particle":"","family":"Dohan","given":"David M","non-dropping-particle":"","parse-names":false,"suffix":""},{"dropping-particle":"","family":"Choukroun","given":"Joseph","non-dropping-particle":"","parse-names":false,"suffix":""},{"dropping-particle":"","family":"Diss","given":"Antoine","non-dropping-particle":"","parse-names":false,"suffix":""},{"dropping-particle":"","family":"Dohan","given":"Steve L","non-dropping-particle":"","parse-names":false,"suffix":""},{"dropping-particle":"","family":"Dohan","given":"Anthony J J","non-dropping-particle":"","parse-names":false,"suffix":""},{"dropping-particle":"","family":"Mouhyi","given":"Jaafar","non-dropping-particle":"","parse-names":false,"suffix":""},{"dropping-particle":"","family":"Gogly","given":"Bruno","non-dropping-particle":"","parse-names":false,"suffix":""}],"container-title":"Oral Surg Oral Med Oral Pathol Oral Radiol Endod.","id":"ITEM-1","issued":{"date-parts":[["2006"]]},"title":"Platelet-rich fibrin ( PRF ): A second-generation platelet concentrate . Part I : Technological concepts and evolution","type":"article-journal"},"uris":["http://www.mendeley.com/documents/?uuid=32d75678-01f3-4bd4-bb15-41a6a839137f"]}],"mendeley":{"formattedCitation":"&lt;sup&gt;&lt;b&gt;(4)&lt;/b&gt;&lt;/sup&gt;","plainTextFormattedCitation":"(4)","previouslyFormattedCitation":"&lt;sup&gt;&lt;b&gt;(3)&lt;/b&gt;&lt;/sup&gt;"},"properties":{"noteIndex":0},"schema":"https://github.com/citation-style-language/schema/raw/master/csl-citation.json"}</w:instrText>
      </w:r>
      <w:r w:rsidRPr="00BF3C0C">
        <w:rPr>
          <w:rFonts w:asciiTheme="majorBidi" w:hAnsiTheme="majorBidi" w:cstheme="majorBidi"/>
          <w:sz w:val="28"/>
          <w:szCs w:val="28"/>
        </w:rPr>
        <w:fldChar w:fldCharType="separate"/>
      </w:r>
      <w:r w:rsidR="00C576C0" w:rsidRPr="00C576C0">
        <w:rPr>
          <w:rFonts w:asciiTheme="majorBidi" w:hAnsiTheme="majorBidi" w:cstheme="majorBidi"/>
          <w:b/>
          <w:noProof/>
          <w:sz w:val="28"/>
          <w:szCs w:val="28"/>
          <w:vertAlign w:val="superscript"/>
        </w:rPr>
        <w:t>(4)</w:t>
      </w:r>
      <w:r w:rsidRPr="00BF3C0C">
        <w:rPr>
          <w:rFonts w:asciiTheme="majorBidi" w:hAnsiTheme="majorBidi" w:cstheme="majorBidi"/>
          <w:sz w:val="28"/>
          <w:szCs w:val="28"/>
        </w:rPr>
        <w:fldChar w:fldCharType="end"/>
      </w:r>
      <w:r w:rsidRPr="00BF3C0C">
        <w:rPr>
          <w:rFonts w:asciiTheme="majorBidi" w:hAnsiTheme="majorBidi" w:cstheme="majorBidi"/>
          <w:sz w:val="28"/>
          <w:szCs w:val="28"/>
        </w:rPr>
        <w:t>.</w:t>
      </w:r>
    </w:p>
    <w:p w14:paraId="1F5DA426" w14:textId="4DECF3CC" w:rsidR="008050FD" w:rsidRPr="00BF3C0C" w:rsidRDefault="008050FD" w:rsidP="008050FD">
      <w:pPr>
        <w:spacing w:after="90"/>
        <w:jc w:val="both"/>
        <w:rPr>
          <w:rFonts w:asciiTheme="majorBidi" w:hAnsiTheme="majorBidi" w:cstheme="majorBidi"/>
          <w:sz w:val="28"/>
          <w:szCs w:val="28"/>
        </w:rPr>
      </w:pPr>
      <w:r w:rsidRPr="00BF3C0C">
        <w:rPr>
          <w:rFonts w:asciiTheme="majorBidi" w:hAnsiTheme="majorBidi" w:cstheme="majorBidi"/>
          <w:sz w:val="28"/>
          <w:szCs w:val="28"/>
        </w:rPr>
        <w:t>Platelet-rich fibrin (PRF) is a second-generation platelet concentrate developed by</w:t>
      </w:r>
      <w:r w:rsidR="00D56DDE">
        <w:rPr>
          <w:rFonts w:asciiTheme="majorBidi" w:hAnsiTheme="majorBidi" w:cstheme="majorBidi"/>
          <w:sz w:val="28"/>
          <w:szCs w:val="28"/>
        </w:rPr>
        <w:t xml:space="preserve"> </w:t>
      </w:r>
      <w:r w:rsidR="00D56DDE">
        <w:rPr>
          <w:rFonts w:asciiTheme="majorBidi" w:hAnsiTheme="majorBidi" w:cstheme="majorBidi"/>
          <w:sz w:val="28"/>
          <w:szCs w:val="28"/>
        </w:rPr>
        <w:fldChar w:fldCharType="begin" w:fldLock="1"/>
      </w:r>
      <w:r w:rsidR="00C576C0">
        <w:rPr>
          <w:rFonts w:asciiTheme="majorBidi" w:hAnsiTheme="majorBidi" w:cstheme="majorBidi"/>
          <w:sz w:val="28"/>
          <w:szCs w:val="28"/>
        </w:rPr>
        <w:instrText>ADDIN CSL_CITATION {"citationItems":[{"id":"ITEM-1","itemData":{"DOI":"10.1016/j.tripleo.2005.07.011","ISSN":"1528-395X","PMID":"16504852","abstract":"Platelet-rich fibrin (PRF) belongs to a new generation of platelet concentrates, with simplified processing and without biochemical blood handling. In this fourth article, investigation is made into the previously evaluated biology of PRF with the first established clinical results, to determine the potential fields of application for this biomaterial. The reasoning is structured around 4 fundamental events of cicatrization, namely, angiogenesis, immune control, circulating stem cells trapping, and wound-covering epithelialization. All of the known clinical applications of PRF highlight an accelerated tissue cicatrization due to the development of effective neovascularization, accelerated wound closing with fast cicatricial tissue remodelling, and nearly total absence of infectious events. This initial research therefore makes it possible to plan several future PRF applications, including plastic and bone surgery, provided that the real effects are evaluated both impartially and rigorously.","author":[{"dropping-particle":"","family":"Choukroun","given":"Joseph","non-dropping-particle":"","parse-names":false,"suffix":""},{"dropping-particle":"","family":"Diss","given":"Antoine","non-dropping-particle":"","parse-names":false,"suffix":""},{"dropping-particle":"","family":"Simonpieri","given":"Alain","non-dropping-particle":"","parse-names":false,"suffix":""},{"dropping-particle":"","family":"Girard","given":"Marie-Odile","non-dropping-particle":"","parse-names":false,"suffix":""},{"dropping-particle":"","family":"Schoeffler","given":"Christian","non-dropping-particle":"","parse-names":false,"suffix":""},{"dropping-particle":"","family":"Dohan","given":"Steve L","non-dropping-particle":"","parse-names":false,"suffix":""},{"dropping-particle":"","family":"Dohan","given":"Anthony J J","non-dropping-particle":"","parse-names":false,"suffix":""},{"dropping-particle":"","family":"Mouhyi","given":"Jaafar","non-dropping-particle":"","parse-names":false,"suffix":""},{"dropping-particle":"","family":"Dohan","given":"David M","non-dropping-particle":"","parse-names":false,"suffix":""}],"container-title":"Oral surgery, oral medicine, oral pathology, oral radiology, and endodontics","id":"ITEM-1","issue":"3","issued":{"date-parts":[["2006","3"]]},"page":"e56-60","title":"Platelet-rich fibrin (PRF): a second-generation platelet concentrate. Part IV: clinical effects on tissue healing.","type":"article-journal","volume":"101"},"uris":["http://www.mendeley.com/documents/?uuid=3656155f-744c-4dba-b56b-45f301c2b5c1"]}],"mendeley":{"formattedCitation":"&lt;sup&gt;&lt;b&gt;(5)&lt;/b&gt;&lt;/sup&gt;","plainTextFormattedCitation":"(5)","previouslyFormattedCitation":"&lt;sup&gt;&lt;b&gt;(4)&lt;/b&gt;&lt;/sup&gt;"},"properties":{"noteIndex":0},"schema":"https://github.com/citation-style-language/schema/raw/master/csl-citation.json"}</w:instrText>
      </w:r>
      <w:r w:rsidR="00D56DDE">
        <w:rPr>
          <w:rFonts w:asciiTheme="majorBidi" w:hAnsiTheme="majorBidi" w:cstheme="majorBidi"/>
          <w:sz w:val="28"/>
          <w:szCs w:val="28"/>
        </w:rPr>
        <w:fldChar w:fldCharType="separate"/>
      </w:r>
      <w:r w:rsidR="00C576C0" w:rsidRPr="00C576C0">
        <w:rPr>
          <w:rFonts w:asciiTheme="majorBidi" w:hAnsiTheme="majorBidi" w:cstheme="majorBidi"/>
          <w:b/>
          <w:noProof/>
          <w:sz w:val="28"/>
          <w:szCs w:val="28"/>
          <w:vertAlign w:val="superscript"/>
        </w:rPr>
        <w:t>(5)</w:t>
      </w:r>
      <w:r w:rsidR="00D56DDE">
        <w:rPr>
          <w:rFonts w:asciiTheme="majorBidi" w:hAnsiTheme="majorBidi" w:cstheme="majorBidi"/>
          <w:sz w:val="28"/>
          <w:szCs w:val="28"/>
        </w:rPr>
        <w:fldChar w:fldCharType="end"/>
      </w:r>
      <w:r w:rsidRPr="00BF3C0C">
        <w:rPr>
          <w:rFonts w:asciiTheme="majorBidi" w:hAnsiTheme="majorBidi" w:cstheme="majorBidi"/>
          <w:sz w:val="28"/>
          <w:szCs w:val="28"/>
        </w:rPr>
        <w:t xml:space="preserve"> PRF contains platelets, leukocytes, cytokines and adhesive proteins. The presence of white blood cells (WBCs), that secrete a large quantity of growth factors </w:t>
      </w:r>
      <w:r w:rsidRPr="00BF3C0C">
        <w:rPr>
          <w:rFonts w:asciiTheme="majorBidi" w:hAnsiTheme="majorBidi" w:cstheme="majorBidi"/>
          <w:sz w:val="28"/>
          <w:szCs w:val="28"/>
        </w:rPr>
        <w:fldChar w:fldCharType="begin" w:fldLock="1"/>
      </w:r>
      <w:r w:rsidR="00C576C0">
        <w:rPr>
          <w:rFonts w:asciiTheme="majorBidi" w:hAnsiTheme="majorBidi" w:cstheme="majorBidi"/>
          <w:sz w:val="28"/>
          <w:szCs w:val="28"/>
        </w:rPr>
        <w:instrText>ADDIN CSL_CITATION {"citationItems":[{"id":"ITEM-1","itemData":{"DOI":"10.1016/j.tripleo.2005.07.011","ISSN":"1528-395X","PMID":"16504852","abstract":"Platelet-rich fibrin (PRF) belongs to a new generation of platelet concentrates, with simplified processing and without biochemical blood handling. In this fourth article, investigation is made into the previously evaluated biology of PRF with the first established clinical results, to determine the potential fields of application for this biomaterial. The reasoning is structured around 4 fundamental events of cicatrization, namely, angiogenesis, immune control, circulating stem cells trapping, and wound-covering epithelialization. All of the known clinical applications of PRF highlight an accelerated tissue cicatrization due to the development of effective neovascularization, accelerated wound closing with fast cicatricial tissue remodelling, and nearly total absence of infectious events. This initial research therefore makes it possible to plan several future PRF applications, including plastic and bone surgery, provided that the real effects are evaluated both impartially and rigorously.","author":[{"dropping-particle":"","family":"Choukroun","given":"Joseph","non-dropping-particle":"","parse-names":false,"suffix":""},{"dropping-particle":"","family":"Diss","given":"Antoine","non-dropping-particle":"","parse-names":false,"suffix":""},{"dropping-particle":"","family":"Simonpieri","given":"Alain","non-dropping-particle":"","parse-names":false,"suffix":""},{"dropping-particle":"","family":"Girard","given":"Marie-Odile","non-dropping-particle":"","parse-names":false,"suffix":""},{"dropping-particle":"","family":"Schoeffler","given":"Christian","non-dropping-particle":"","parse-names":false,"suffix":""},{"dropping-particle":"","family":"Dohan","given":"Steve L","non-dropping-particle":"","parse-names":false,"suffix":""},{"dropping-particle":"","family":"Dohan","given":"Anthony J J","non-dropping-particle":"","parse-names":false,"suffix":""},{"dropping-particle":"","family":"Mouhyi","given":"Jaafar","non-dropping-particle":"","parse-names":false,"suffix":""},{"dropping-particle":"","family":"Dohan","given":"David M","non-dropping-particle":"","parse-names":false,"suffix":""}],"container-title":"Oral surgery, oral medicine, oral pathology, oral radiology, and endodontics","id":"ITEM-1","issue":"3","issued":{"date-parts":[["2006","3"]]},"page":"e56-60","title":"Platelet-rich fibrin (PRF): a second-generation platelet concentrate. Part IV: clinical effects on tissue healing.","type":"article-journal","volume":"101"},"uris":["http://www.mendeley.com/documents/?uuid=3656155f-744c-4dba-b56b-45f301c2b5c1"]}],"mendeley":{"formattedCitation":"&lt;sup&gt;&lt;b&gt;(5)&lt;/b&gt;&lt;/sup&gt;","plainTextFormattedCitation":"(5)","previouslyFormattedCitation":"&lt;sup&gt;&lt;b&gt;(4)&lt;/b&gt;&lt;/sup&gt;"},"properties":{"noteIndex":0},"schema":"https://github.com/citation-style-language/schema/raw/master/csl-citation.json"}</w:instrText>
      </w:r>
      <w:r w:rsidRPr="00BF3C0C">
        <w:rPr>
          <w:rFonts w:asciiTheme="majorBidi" w:hAnsiTheme="majorBidi" w:cstheme="majorBidi"/>
          <w:sz w:val="28"/>
          <w:szCs w:val="28"/>
        </w:rPr>
        <w:fldChar w:fldCharType="separate"/>
      </w:r>
      <w:r w:rsidR="00C576C0" w:rsidRPr="00C576C0">
        <w:rPr>
          <w:rFonts w:asciiTheme="majorBidi" w:hAnsiTheme="majorBidi" w:cstheme="majorBidi"/>
          <w:b/>
          <w:noProof/>
          <w:sz w:val="28"/>
          <w:szCs w:val="28"/>
          <w:vertAlign w:val="superscript"/>
        </w:rPr>
        <w:t>(5)</w:t>
      </w:r>
      <w:r w:rsidRPr="00BF3C0C">
        <w:rPr>
          <w:rFonts w:asciiTheme="majorBidi" w:hAnsiTheme="majorBidi" w:cstheme="majorBidi"/>
          <w:sz w:val="28"/>
          <w:szCs w:val="28"/>
        </w:rPr>
        <w:fldChar w:fldCharType="end"/>
      </w:r>
      <w:r w:rsidRPr="00BF3C0C">
        <w:rPr>
          <w:rFonts w:asciiTheme="majorBidi" w:hAnsiTheme="majorBidi" w:cstheme="majorBidi"/>
          <w:sz w:val="28"/>
          <w:szCs w:val="28"/>
        </w:rPr>
        <w:t xml:space="preserve">. PRF is simpler and less expensive to prepare, as well as being less risky to the patients. Owing to its dense fibrin matrix, PRF takes longer to be resorbed by the host, which results in slower and sustained release of platelet and leukocyte derived growth factors in to the wound area </w:t>
      </w:r>
      <w:r w:rsidRPr="00BF3C0C">
        <w:rPr>
          <w:rFonts w:asciiTheme="majorBidi" w:hAnsiTheme="majorBidi" w:cstheme="majorBidi"/>
          <w:sz w:val="28"/>
          <w:szCs w:val="28"/>
        </w:rPr>
        <w:fldChar w:fldCharType="begin" w:fldLock="1"/>
      </w:r>
      <w:r w:rsidR="00C576C0">
        <w:rPr>
          <w:rFonts w:asciiTheme="majorBidi" w:hAnsiTheme="majorBidi" w:cstheme="majorBidi"/>
          <w:sz w:val="28"/>
          <w:szCs w:val="28"/>
        </w:rPr>
        <w:instrText>ADDIN CSL_CITATION {"citationItems":[{"id":"ITEM-1","itemData":{"DOI":"10.1016/j.tripleo.2005.07.009","author":[{"dropping-particle":"","family":"Dohan","given":"David M","non-dropping-particle":"","parse-names":false,"suffix":""},{"dropping-particle":"","family":"Choukroun","given":"Joseph","non-dropping-particle":"","parse-names":false,"suffix":""},{"dropping-particle":"","family":"Diss","given":"Antoine","non-dropping-particle":"","parse-names":false,"suffix":""},{"dropping-particle":"","family":"Dohan","given":"Steve L","non-dropping-particle":"","parse-names":false,"suffix":""},{"dropping-particle":"","family":"Dohan","given":"Anthony J J","non-dropping-particle":"","parse-names":false,"suffix":""},{"dropping-particle":"","family":"Mouhyi","given":"Jaafar","non-dropping-particle":"","parse-names":false,"suffix":""},{"dropping-particle":"","family":"Gogly","given":"Bruno","non-dropping-particle":"","parse-names":false,"suffix":""}],"container-title":"Oral Surg Oral Med Oral Pathol Oral Radiol Endod.","id":"ITEM-1","issued":{"date-parts":[["2006"]]},"title":"Platelet-rich fibrin ( PRF ): A second-generation platelet concentrate . Part II : Platelet-related biologic features","type":"article-journal"},"uris":["http://www.mendeley.com/documents/?uuid=30d4c136-252d-4b8d-bdcf-8f9cab43f622"]},{"id":"ITEM-2","itemData":{"DOI":"10.1016/j.tripleo.2005.07.010","author":[{"dropping-particle":"","family":"Dohan","given":"David M","non-dropping-particle":"","parse-names":false,"suffix":""},{"dropping-particle":"","family":"Choukroun","given":"Joseph","non-dropping-particle":"","parse-names":false,"suffix":""},{"dropping-particle":"","family":"Diss","given":"Antoine","non-dropping-particle":"","parse-names":false,"suffix":""},{"dropping-particle":"","family":"Dohan","given":"Steve L","non-dropping-particle":"","parse-names":false,"suffix":""},{"dropping-particle":"","family":"Dohan","given":"Anthony J J","non-dropping-particle":"","parse-names":false,"suffix":""},{"dropping-particle":"","family":"Mouhyi","given":"Jaafar","non-dropping-particle":"","parse-names":false,"suffix":""},{"dropping-particle":"","family":"Gogly","given":"Bruno","non-dropping-particle":"","parse-names":false,"suffix":""}],"container-title":"Oral Surg Oral Med Oral Pathol Oral Radiol Endod.","id":"ITEM-2","issued":{"date-parts":[["2006"]]},"title":"Platelet-rich fibrin ( PRF ): A second-generation platelet concentrate . Part III : Leucocyte activation : A new feature for platelet concentrates ?","type":"article-journal"},"uris":["http://www.mendeley.com/documents/?uuid=49451047-177c-4688-9bb1-0555b3dd5dc4"]}],"mendeley":{"formattedCitation":"&lt;sup&gt;&lt;b&gt;(6,7)&lt;/b&gt;&lt;/sup&gt;","plainTextFormattedCitation":"(6,7)","previouslyFormattedCitation":"&lt;sup&gt;&lt;b&gt;(5,6)&lt;/b&gt;&lt;/sup&gt;"},"properties":{"noteIndex":0},"schema":"https://github.com/citation-style-language/schema/raw/master/csl-citation.json"}</w:instrText>
      </w:r>
      <w:r w:rsidRPr="00BF3C0C">
        <w:rPr>
          <w:rFonts w:asciiTheme="majorBidi" w:hAnsiTheme="majorBidi" w:cstheme="majorBidi"/>
          <w:sz w:val="28"/>
          <w:szCs w:val="28"/>
        </w:rPr>
        <w:fldChar w:fldCharType="separate"/>
      </w:r>
      <w:r w:rsidR="00C576C0" w:rsidRPr="00C576C0">
        <w:rPr>
          <w:rFonts w:asciiTheme="majorBidi" w:hAnsiTheme="majorBidi" w:cstheme="majorBidi"/>
          <w:b/>
          <w:noProof/>
          <w:sz w:val="28"/>
          <w:szCs w:val="28"/>
          <w:vertAlign w:val="superscript"/>
        </w:rPr>
        <w:t>(6,7)</w:t>
      </w:r>
      <w:r w:rsidRPr="00BF3C0C">
        <w:rPr>
          <w:rFonts w:asciiTheme="majorBidi" w:hAnsiTheme="majorBidi" w:cstheme="majorBidi"/>
          <w:sz w:val="28"/>
          <w:szCs w:val="28"/>
        </w:rPr>
        <w:fldChar w:fldCharType="end"/>
      </w:r>
    </w:p>
    <w:p w14:paraId="666F098A" w14:textId="1AB7D5B9" w:rsidR="008050FD" w:rsidRPr="00BF3C0C" w:rsidRDefault="008050FD" w:rsidP="008050FD">
      <w:pPr>
        <w:spacing w:after="90"/>
        <w:jc w:val="both"/>
        <w:rPr>
          <w:rFonts w:asciiTheme="majorBidi" w:hAnsiTheme="majorBidi" w:cstheme="majorBidi"/>
          <w:sz w:val="28"/>
          <w:szCs w:val="28"/>
        </w:rPr>
      </w:pPr>
      <w:r w:rsidRPr="00BF3C0C">
        <w:rPr>
          <w:rFonts w:asciiTheme="majorBidi" w:hAnsiTheme="majorBidi" w:cstheme="majorBidi"/>
          <w:sz w:val="28"/>
          <w:szCs w:val="28"/>
        </w:rPr>
        <w:t>Several methods are available for the assessment of bone healing including densitometry, direct digital radiography, and bone biopsy.</w:t>
      </w:r>
      <w:r w:rsidRPr="00BF3C0C">
        <w:rPr>
          <w:rFonts w:asciiTheme="majorBidi" w:hAnsiTheme="majorBidi" w:cstheme="majorBidi"/>
          <w:sz w:val="28"/>
          <w:szCs w:val="28"/>
          <w:rtl/>
        </w:rPr>
        <w:t xml:space="preserve"> </w:t>
      </w:r>
      <w:r w:rsidRPr="00BF3C0C">
        <w:rPr>
          <w:rFonts w:asciiTheme="majorBidi" w:hAnsiTheme="majorBidi" w:cstheme="majorBidi"/>
          <w:sz w:val="28"/>
          <w:szCs w:val="28"/>
        </w:rPr>
        <w:t xml:space="preserve">Computed tomography (CT) is an imaging modality that is being is widely used for maxillofacial imaging, as it provides accurate two and three-dimensional radiographic images of an anatomical structure with an increased precision, lower doses of radiation, and lower costs </w:t>
      </w:r>
      <w:r w:rsidRPr="00BF3C0C">
        <w:rPr>
          <w:rFonts w:asciiTheme="majorBidi" w:hAnsiTheme="majorBidi" w:cstheme="majorBidi"/>
          <w:sz w:val="28"/>
          <w:szCs w:val="28"/>
        </w:rPr>
        <w:fldChar w:fldCharType="begin" w:fldLock="1"/>
      </w:r>
      <w:r w:rsidR="00C576C0">
        <w:rPr>
          <w:rFonts w:asciiTheme="majorBidi" w:hAnsiTheme="majorBidi" w:cstheme="majorBidi"/>
          <w:sz w:val="28"/>
          <w:szCs w:val="28"/>
        </w:rPr>
        <w:instrText>ADDIN CSL_CITATION {"citationItems":[{"id":"ITEM-1","itemData":{"DOI":"10.1111/edt.12021","ISSN":"16004469","author":[{"dropping-particle":"","family":"Daif","given":"Emad T","non-dropping-particle":"","parse-names":false,"suffix":""}],"container-title":"Dental Traumatology","id":"ITEM-1","issue":"5","issued":{"date-parts":[["2013","10"]]},"page":"399-403","title":"Effect of autologous platelet-rich plasma on bone regeneration in mandibular fractures","type":"article-journal","volume":"29"},"uris":["http://www.mendeley.com/documents/?uuid=c8c3e9b5-9718-4526-84ac-03155cd6823f"]}],"mendeley":{"formattedCitation":"&lt;sup&gt;&lt;b&gt;(8)&lt;/b&gt;&lt;/sup&gt;","plainTextFormattedCitation":"(8)","previouslyFormattedCitation":"&lt;sup&gt;&lt;b&gt;(7)&lt;/b&gt;&lt;/sup&gt;"},"properties":{"noteIndex":0},"schema":"https://github.com/citation-style-language/schema/raw/master/csl-citation.json"}</w:instrText>
      </w:r>
      <w:r w:rsidRPr="00BF3C0C">
        <w:rPr>
          <w:rFonts w:asciiTheme="majorBidi" w:hAnsiTheme="majorBidi" w:cstheme="majorBidi"/>
          <w:sz w:val="28"/>
          <w:szCs w:val="28"/>
        </w:rPr>
        <w:fldChar w:fldCharType="separate"/>
      </w:r>
      <w:r w:rsidR="00C576C0" w:rsidRPr="00C576C0">
        <w:rPr>
          <w:rFonts w:asciiTheme="majorBidi" w:hAnsiTheme="majorBidi" w:cstheme="majorBidi"/>
          <w:b/>
          <w:noProof/>
          <w:sz w:val="28"/>
          <w:szCs w:val="28"/>
          <w:vertAlign w:val="superscript"/>
        </w:rPr>
        <w:t>(8)</w:t>
      </w:r>
      <w:r w:rsidRPr="00BF3C0C">
        <w:rPr>
          <w:rFonts w:asciiTheme="majorBidi" w:hAnsiTheme="majorBidi" w:cstheme="majorBidi"/>
          <w:sz w:val="28"/>
          <w:szCs w:val="28"/>
        </w:rPr>
        <w:fldChar w:fldCharType="end"/>
      </w:r>
      <w:r w:rsidRPr="00BF3C0C">
        <w:rPr>
          <w:rFonts w:asciiTheme="majorBidi" w:hAnsiTheme="majorBidi" w:cstheme="majorBidi"/>
          <w:sz w:val="28"/>
          <w:szCs w:val="28"/>
        </w:rPr>
        <w:t>.</w:t>
      </w:r>
      <w:r w:rsidRPr="00BF3C0C">
        <w:rPr>
          <w:rFonts w:asciiTheme="majorBidi" w:eastAsia="Times New Roman" w:hAnsiTheme="majorBidi" w:cstheme="majorBidi"/>
          <w:sz w:val="28"/>
          <w:szCs w:val="28"/>
        </w:rPr>
        <w:t xml:space="preserve"> </w:t>
      </w:r>
      <w:r w:rsidRPr="00BF3C0C">
        <w:rPr>
          <w:rFonts w:asciiTheme="majorBidi" w:hAnsiTheme="majorBidi" w:cstheme="majorBidi"/>
          <w:sz w:val="28"/>
          <w:szCs w:val="28"/>
        </w:rPr>
        <w:t xml:space="preserve">Assessment of bone union after a fracture is an important clinical consideration. Wrong assessment of bone healing can have major negative consequences for a patient. Especially if bone union is doubtful, an objective and accurate assessment tool can be helpful in clinical decision making </w:t>
      </w:r>
      <w:r w:rsidRPr="00BF3C0C">
        <w:rPr>
          <w:rFonts w:asciiTheme="majorBidi" w:hAnsiTheme="majorBidi" w:cstheme="majorBidi"/>
          <w:sz w:val="28"/>
          <w:szCs w:val="28"/>
        </w:rPr>
        <w:fldChar w:fldCharType="begin" w:fldLock="1"/>
      </w:r>
      <w:r w:rsidR="00C576C0">
        <w:rPr>
          <w:rFonts w:asciiTheme="majorBidi" w:hAnsiTheme="majorBidi" w:cstheme="majorBidi"/>
          <w:sz w:val="28"/>
          <w:szCs w:val="28"/>
        </w:rPr>
        <w:instrText>ADDIN CSL_CITATION {"citationItems":[{"id":"ITEM-1","itemData":{"DOI":"10.1007/s00223-021-00904-6","ISSN":"0171-967X","abstract":"Objective and accurate assessment of bone union after a fracture, arthrodesis, or osteotomy is relevant for scientific and clinical purposes. Bone union is most accurately imaged with computed tomography (CT), but no consensus exists about objective assessment of bone union from CT images. It is unclear which CT-generated parameters are most suitable for bone union assessment. The aim of this review of animal studies is to find which CT-generated parameters are associated most strongly with actual bone union. Scientific databases were systematically searched. Eligible studies were studies that (1) were animal studies, (2) created a fracture, (3) assessed bone union with CT, (4) performed mechanical or histological testing as measure of actual bone union, and (5) associated CT-generated outcomes to mechanical or histological testing results. Two authors selected eligible studies and performed risk of bias assessment with QUADAS-2 tool. From 2567 studies that were screened, thirteen studies were included. Most common CT parameters that were investigated were bone mineral density, bone volume, and total callus volume. Studies showed conflicting results concerning the associations of these parameters with actual bone union. CT-assessed torsional rigidity (assessed by three studies) and callus density (assessed by two studies) showed best results. The studies investigating these two parameters reported moderate to strong associations with actual bone union. CT-assessed torsional rigidity and callus density seem the most promising parameters to represent actual bone union after a fracture, arthrodesis, or osteotomy.","author":[{"dropping-particle":"","family":"Willems","given":"A.","non-dropping-particle":"","parse-names":false,"suffix":""},{"dropping-particle":"","family":"Iҫli","given":"C.","non-dropping-particle":"","parse-names":false,"suffix":""},{"dropping-particle":"","family":"Waarsing","given":"J. H.","non-dropping-particle":"","parse-names":false,"suffix":""},{"dropping-particle":"","family":"Bierma-Zeinstra","given":"S. M. A.","non-dropping-particle":"","parse-names":false,"suffix":""},{"dropping-particle":"","family":"Meuffels","given":"D. E.","non-dropping-particle":"","parse-names":false,"suffix":""}],"container-title":"Calcified Tissue International","id":"ITEM-1","issue":"2","issued":{"date-parts":[["2022","2","21"]]},"page":"147-161","title":"Bone Union Assessment with Computed Tomography (CT) and Statistical Associations with Mechanical or Histological Testing: A Systematic Review of Animal Studies","type":"article-journal","volume":"110"},"uris":["http://www.mendeley.com/documents/?uuid=5051987a-9b4e-408a-87d5-328f482b9c5e"]}],"mendeley":{"formattedCitation":"&lt;sup&gt;&lt;b&gt;(9)&lt;/b&gt;&lt;/sup&gt;","plainTextFormattedCitation":"(9)","previouslyFormattedCitation":"&lt;sup&gt;&lt;b&gt;(8)&lt;/b&gt;&lt;/sup&gt;"},"properties":{"noteIndex":0},"schema":"https://github.com/citation-style-language/schema/raw/master/csl-citation.json"}</w:instrText>
      </w:r>
      <w:r w:rsidRPr="00BF3C0C">
        <w:rPr>
          <w:rFonts w:asciiTheme="majorBidi" w:hAnsiTheme="majorBidi" w:cstheme="majorBidi"/>
          <w:sz w:val="28"/>
          <w:szCs w:val="28"/>
        </w:rPr>
        <w:fldChar w:fldCharType="separate"/>
      </w:r>
      <w:r w:rsidR="00C576C0" w:rsidRPr="00C576C0">
        <w:rPr>
          <w:rFonts w:asciiTheme="majorBidi" w:hAnsiTheme="majorBidi" w:cstheme="majorBidi"/>
          <w:b/>
          <w:noProof/>
          <w:sz w:val="28"/>
          <w:szCs w:val="28"/>
          <w:vertAlign w:val="superscript"/>
        </w:rPr>
        <w:t>(9)</w:t>
      </w:r>
      <w:r w:rsidRPr="00BF3C0C">
        <w:rPr>
          <w:rFonts w:asciiTheme="majorBidi" w:hAnsiTheme="majorBidi" w:cstheme="majorBidi"/>
          <w:sz w:val="28"/>
          <w:szCs w:val="28"/>
        </w:rPr>
        <w:fldChar w:fldCharType="end"/>
      </w:r>
      <w:r w:rsidRPr="00BF3C0C">
        <w:rPr>
          <w:rFonts w:asciiTheme="majorBidi" w:hAnsiTheme="majorBidi" w:cstheme="majorBidi"/>
          <w:sz w:val="28"/>
          <w:szCs w:val="28"/>
        </w:rPr>
        <w:t>.</w:t>
      </w:r>
    </w:p>
    <w:p w14:paraId="4CCDD4C4" w14:textId="00E0D01B" w:rsidR="008050FD" w:rsidRPr="00BF3C0C" w:rsidRDefault="008050FD" w:rsidP="008050FD">
      <w:pPr>
        <w:spacing w:after="90"/>
        <w:jc w:val="both"/>
        <w:rPr>
          <w:rFonts w:asciiTheme="majorBidi" w:hAnsiTheme="majorBidi" w:cstheme="majorBidi"/>
          <w:b/>
          <w:i/>
          <w:sz w:val="28"/>
          <w:szCs w:val="28"/>
        </w:rPr>
      </w:pPr>
      <w:r w:rsidRPr="00BF3C0C">
        <w:rPr>
          <w:rFonts w:asciiTheme="majorBidi" w:hAnsiTheme="majorBidi" w:cstheme="majorBidi"/>
          <w:sz w:val="28"/>
          <w:szCs w:val="28"/>
        </w:rPr>
        <w:t xml:space="preserve">PRF showed promising effect on bone regeneration either alone or combined with other osteogenic materials. Recent studies reported that PRF showed safe and promising results, without contradictory findings, and showed several advantages and possible indications for PRF to be used </w:t>
      </w:r>
      <w:r w:rsidRPr="00BF3C0C">
        <w:rPr>
          <w:rFonts w:asciiTheme="majorBidi" w:hAnsiTheme="majorBidi" w:cstheme="majorBidi"/>
          <w:sz w:val="28"/>
          <w:szCs w:val="28"/>
        </w:rPr>
        <w:fldChar w:fldCharType="begin" w:fldLock="1"/>
      </w:r>
      <w:r w:rsidR="00C576C0">
        <w:rPr>
          <w:rFonts w:asciiTheme="majorBidi" w:hAnsiTheme="majorBidi" w:cstheme="majorBidi"/>
          <w:sz w:val="28"/>
          <w:szCs w:val="28"/>
        </w:rPr>
        <w:instrText>ADDIN CSL_CITATION {"citationItems":[{"id":"ITEM-1","itemData":{"DOI":"10.26420/thrombhaemostres.2019.1022","author":[{"dropping-particle":"","family":"Raafat NS","given":"and Abdelkader IB","non-dropping-particle":"","parse-names":false,"suffix":""}],"container-title":"Austin Thrombosis reasearch and Treatment","id":"ITEM-1","issue":"1","issued":{"date-parts":[["2019","3"]]},"page":"1-3","title":"The Effect of Platelet-Rich Fibrin on Bone Defects Repair in Experimental Animals: A Mini-Review","type":"article-journal","volume":"3"},"uris":["http://www.mendeley.com/documents/?uuid=208a0f58-6b59-4a95-82e1-662c757015eb"]}],"mendeley":{"formattedCitation":"&lt;sup&gt;&lt;b&gt;(10)&lt;/b&gt;&lt;/sup&gt;","plainTextFormattedCitation":"(10)","previouslyFormattedCitation":"&lt;sup&gt;&lt;b&gt;(9)&lt;/b&gt;&lt;/sup&gt;"},"properties":{"noteIndex":0},"schema":"https://github.com/citation-style-language/schema/raw/master/csl-citation.json"}</w:instrText>
      </w:r>
      <w:r w:rsidRPr="00BF3C0C">
        <w:rPr>
          <w:rFonts w:asciiTheme="majorBidi" w:hAnsiTheme="majorBidi" w:cstheme="majorBidi"/>
          <w:sz w:val="28"/>
          <w:szCs w:val="28"/>
        </w:rPr>
        <w:fldChar w:fldCharType="separate"/>
      </w:r>
      <w:r w:rsidR="00C576C0" w:rsidRPr="00C576C0">
        <w:rPr>
          <w:rFonts w:asciiTheme="majorBidi" w:hAnsiTheme="majorBidi" w:cstheme="majorBidi"/>
          <w:b/>
          <w:noProof/>
          <w:sz w:val="28"/>
          <w:szCs w:val="28"/>
          <w:vertAlign w:val="superscript"/>
        </w:rPr>
        <w:t>(10)</w:t>
      </w:r>
      <w:r w:rsidRPr="00BF3C0C">
        <w:rPr>
          <w:rFonts w:asciiTheme="majorBidi" w:hAnsiTheme="majorBidi" w:cstheme="majorBidi"/>
          <w:sz w:val="28"/>
          <w:szCs w:val="28"/>
        </w:rPr>
        <w:fldChar w:fldCharType="end"/>
      </w:r>
      <w:r w:rsidRPr="00BF3C0C">
        <w:rPr>
          <w:rFonts w:asciiTheme="majorBidi" w:hAnsiTheme="majorBidi" w:cstheme="majorBidi"/>
          <w:sz w:val="28"/>
          <w:szCs w:val="28"/>
        </w:rPr>
        <w:t>.</w:t>
      </w:r>
      <w:r w:rsidRPr="00BF3C0C">
        <w:rPr>
          <w:rFonts w:asciiTheme="majorBidi" w:hAnsiTheme="majorBidi" w:cstheme="majorBidi"/>
          <w:b/>
          <w:i/>
          <w:sz w:val="28"/>
          <w:szCs w:val="28"/>
        </w:rPr>
        <w:t xml:space="preserve">   </w:t>
      </w:r>
    </w:p>
    <w:p w14:paraId="0F6830AF" w14:textId="77777777" w:rsidR="008050FD" w:rsidRDefault="008050FD" w:rsidP="008050FD">
      <w:pPr>
        <w:spacing w:after="90"/>
        <w:jc w:val="both"/>
        <w:rPr>
          <w:rFonts w:asciiTheme="majorBidi" w:hAnsiTheme="majorBidi" w:cstheme="majorBidi"/>
          <w:b/>
          <w:bCs/>
          <w:sz w:val="32"/>
          <w:szCs w:val="32"/>
        </w:rPr>
      </w:pPr>
    </w:p>
    <w:p w14:paraId="2B205602" w14:textId="77777777" w:rsidR="008050FD" w:rsidRPr="002E2317" w:rsidRDefault="008050FD" w:rsidP="008050FD">
      <w:pPr>
        <w:spacing w:after="90"/>
        <w:jc w:val="both"/>
        <w:rPr>
          <w:rFonts w:asciiTheme="majorBidi" w:hAnsiTheme="majorBidi" w:cstheme="majorBidi"/>
          <w:sz w:val="32"/>
          <w:szCs w:val="32"/>
        </w:rPr>
      </w:pPr>
      <w:r w:rsidRPr="002E2317">
        <w:rPr>
          <w:rFonts w:asciiTheme="majorBidi" w:hAnsiTheme="majorBidi" w:cstheme="majorBidi"/>
          <w:b/>
          <w:bCs/>
          <w:sz w:val="32"/>
          <w:szCs w:val="32"/>
        </w:rPr>
        <w:t>Subjects and Methods</w:t>
      </w:r>
    </w:p>
    <w:p w14:paraId="1290598E" w14:textId="6584BF23" w:rsidR="008050FD" w:rsidRPr="00BF3C0C" w:rsidRDefault="008050FD" w:rsidP="008050FD">
      <w:pPr>
        <w:spacing w:after="90"/>
        <w:rPr>
          <w:rFonts w:asciiTheme="majorBidi" w:hAnsiTheme="majorBidi" w:cstheme="majorBidi"/>
          <w:sz w:val="28"/>
          <w:szCs w:val="28"/>
        </w:rPr>
      </w:pPr>
      <w:r w:rsidRPr="00BF3C0C">
        <w:rPr>
          <w:rFonts w:asciiTheme="majorBidi" w:hAnsiTheme="majorBidi" w:cstheme="majorBidi"/>
          <w:sz w:val="28"/>
          <w:szCs w:val="28"/>
        </w:rPr>
        <w:t>This study was designed as a prospective comparative study where patients were selected from the Emergency Room of Benha University Hospital and from the Outpatient Clinic of Oral and Maxillofacial Surgery</w:t>
      </w:r>
      <w:r w:rsidR="00C46228">
        <w:rPr>
          <w:rFonts w:asciiTheme="majorBidi" w:hAnsiTheme="majorBidi" w:cstheme="majorBidi"/>
          <w:sz w:val="28"/>
          <w:szCs w:val="28"/>
        </w:rPr>
        <w:t xml:space="preserve">, Otorhinolaryngology department </w:t>
      </w:r>
      <w:r w:rsidRPr="00BF3C0C">
        <w:rPr>
          <w:rFonts w:asciiTheme="majorBidi" w:hAnsiTheme="majorBidi" w:cstheme="majorBidi"/>
          <w:sz w:val="28"/>
          <w:szCs w:val="28"/>
        </w:rPr>
        <w:t>Benha University from January 2020 to January 2022.</w:t>
      </w:r>
    </w:p>
    <w:p w14:paraId="46C8535C" w14:textId="77777777" w:rsidR="008050FD" w:rsidRPr="00BF3C0C" w:rsidRDefault="008050FD" w:rsidP="008050FD">
      <w:pPr>
        <w:spacing w:after="90"/>
        <w:rPr>
          <w:rFonts w:asciiTheme="majorBidi" w:hAnsiTheme="majorBidi" w:cstheme="majorBidi"/>
          <w:i/>
          <w:iCs/>
          <w:sz w:val="28"/>
          <w:szCs w:val="28"/>
        </w:rPr>
      </w:pPr>
      <w:r w:rsidRPr="00BF3C0C">
        <w:rPr>
          <w:rFonts w:asciiTheme="majorBidi" w:hAnsiTheme="majorBidi" w:cstheme="majorBidi"/>
          <w:i/>
          <w:iCs/>
          <w:sz w:val="28"/>
          <w:szCs w:val="28"/>
        </w:rPr>
        <w:t>Patient Selection</w:t>
      </w:r>
    </w:p>
    <w:p w14:paraId="0E32C1CC" w14:textId="77777777" w:rsidR="008050FD" w:rsidRPr="00BF3C0C" w:rsidRDefault="008050FD" w:rsidP="008050FD">
      <w:pPr>
        <w:spacing w:after="90"/>
        <w:jc w:val="both"/>
        <w:rPr>
          <w:rFonts w:asciiTheme="majorBidi" w:hAnsiTheme="majorBidi" w:cstheme="majorBidi"/>
          <w:b/>
          <w:bCs/>
          <w:i/>
          <w:iCs/>
          <w:sz w:val="28"/>
          <w:szCs w:val="28"/>
        </w:rPr>
      </w:pPr>
      <w:r w:rsidRPr="00BF3C0C">
        <w:rPr>
          <w:rFonts w:asciiTheme="majorBidi" w:hAnsiTheme="majorBidi" w:cstheme="majorBidi"/>
          <w:sz w:val="28"/>
          <w:szCs w:val="28"/>
        </w:rPr>
        <w:t xml:space="preserve">A sample of 40 patients with mandibular fracture were enrolled in the study to evaluate the difference in bone density in the fracture treated with conventional plates and screws with PRF to that treated with conventional plates and screws only. </w:t>
      </w:r>
    </w:p>
    <w:p w14:paraId="4C416CA0" w14:textId="77777777" w:rsidR="008050FD" w:rsidRPr="00BF3C0C" w:rsidRDefault="008050FD" w:rsidP="008050FD">
      <w:pPr>
        <w:spacing w:after="90"/>
        <w:jc w:val="both"/>
        <w:rPr>
          <w:rFonts w:asciiTheme="majorBidi" w:hAnsiTheme="majorBidi" w:cstheme="majorBidi"/>
          <w:b/>
          <w:bCs/>
          <w:i/>
          <w:iCs/>
          <w:sz w:val="28"/>
          <w:szCs w:val="28"/>
        </w:rPr>
      </w:pPr>
      <w:r w:rsidRPr="00BF3C0C">
        <w:rPr>
          <w:rFonts w:asciiTheme="majorBidi" w:hAnsiTheme="majorBidi" w:cstheme="majorBidi"/>
          <w:sz w:val="28"/>
          <w:szCs w:val="28"/>
        </w:rPr>
        <w:t xml:space="preserve">The study was approved by the medical ethical committee of Benha Faculty of medicine and written informed consent from the patients were obtained after </w:t>
      </w:r>
      <w:r w:rsidRPr="00BF3C0C">
        <w:rPr>
          <w:rFonts w:asciiTheme="majorBidi" w:hAnsiTheme="majorBidi" w:cstheme="majorBidi"/>
          <w:sz w:val="28"/>
          <w:szCs w:val="28"/>
        </w:rPr>
        <w:lastRenderedPageBreak/>
        <w:t xml:space="preserve">detailed explanation of all the procedures. Each participant diagnosed with mandibular fracture, patients divided into two groups, each with 20 patients: </w:t>
      </w:r>
    </w:p>
    <w:p w14:paraId="04F114D7" w14:textId="77777777" w:rsidR="008050FD" w:rsidRPr="00BF3C0C" w:rsidRDefault="008050FD" w:rsidP="008050FD">
      <w:pPr>
        <w:spacing w:after="90"/>
        <w:jc w:val="both"/>
        <w:rPr>
          <w:rFonts w:asciiTheme="majorBidi" w:hAnsiTheme="majorBidi" w:cstheme="majorBidi"/>
          <w:sz w:val="28"/>
          <w:szCs w:val="28"/>
        </w:rPr>
      </w:pPr>
      <w:r w:rsidRPr="00BF3C0C">
        <w:rPr>
          <w:rFonts w:asciiTheme="majorBidi" w:hAnsiTheme="majorBidi" w:cstheme="majorBidi"/>
          <w:b/>
          <w:bCs/>
          <w:sz w:val="28"/>
          <w:szCs w:val="28"/>
        </w:rPr>
        <w:t>Group A (Study Group):</w:t>
      </w:r>
      <w:r w:rsidRPr="00BF3C0C">
        <w:rPr>
          <w:rFonts w:asciiTheme="majorBidi" w:hAnsiTheme="majorBidi" w:cstheme="majorBidi"/>
          <w:sz w:val="28"/>
          <w:szCs w:val="28"/>
        </w:rPr>
        <w:t xml:space="preserve"> The mandibular fracture was treated by open reduction and direct fixation using the conventional 2.0 mm miniplates and screws with placement of PRF membrane.   </w:t>
      </w:r>
    </w:p>
    <w:p w14:paraId="2FB91FFF" w14:textId="77777777" w:rsidR="008050FD" w:rsidRPr="00BF3C0C" w:rsidRDefault="008050FD" w:rsidP="008050FD">
      <w:pPr>
        <w:spacing w:after="90"/>
        <w:jc w:val="both"/>
        <w:rPr>
          <w:rFonts w:asciiTheme="majorBidi" w:hAnsiTheme="majorBidi" w:cstheme="majorBidi"/>
          <w:sz w:val="28"/>
          <w:szCs w:val="28"/>
        </w:rPr>
      </w:pPr>
      <w:r w:rsidRPr="00BF3C0C">
        <w:rPr>
          <w:rFonts w:asciiTheme="majorBidi" w:hAnsiTheme="majorBidi" w:cstheme="majorBidi"/>
          <w:b/>
          <w:bCs/>
          <w:sz w:val="28"/>
          <w:szCs w:val="28"/>
        </w:rPr>
        <w:t>Group B (Control Group):</w:t>
      </w:r>
      <w:r w:rsidRPr="00BF3C0C">
        <w:rPr>
          <w:rFonts w:asciiTheme="majorBidi" w:hAnsiTheme="majorBidi" w:cstheme="majorBidi"/>
          <w:sz w:val="28"/>
          <w:szCs w:val="28"/>
        </w:rPr>
        <w:t xml:space="preserve"> The mandibular fracture was treated by open reduction and direct fixation using the conventional 2.0 mm miniplates and screws.</w:t>
      </w:r>
    </w:p>
    <w:p w14:paraId="6C0D53B3" w14:textId="77777777" w:rsidR="008050FD" w:rsidRPr="00BF3C0C" w:rsidRDefault="008050FD" w:rsidP="008050FD">
      <w:pPr>
        <w:spacing w:after="90"/>
        <w:jc w:val="both"/>
        <w:rPr>
          <w:rFonts w:asciiTheme="majorBidi" w:hAnsiTheme="majorBidi" w:cstheme="majorBidi"/>
          <w:sz w:val="28"/>
          <w:szCs w:val="28"/>
        </w:rPr>
      </w:pPr>
      <w:r w:rsidRPr="00BF3C0C">
        <w:rPr>
          <w:rFonts w:asciiTheme="majorBidi" w:hAnsiTheme="majorBidi" w:cstheme="majorBidi"/>
          <w:sz w:val="28"/>
          <w:szCs w:val="28"/>
        </w:rPr>
        <w:t>Standardized preoperative panoramic radiographs and CT scans axial, coronal and 3D reconstruction views to assess the number and location of line or lines of fracture, localize the inferior alveolar canal and any teeth in the fracture line. Patients were admitted to the hospital and routine laboratory investigations were performed before surgery, ECG, and chest radiograph for patients older than 40 years of age.</w:t>
      </w:r>
    </w:p>
    <w:p w14:paraId="5650E09A" w14:textId="77777777" w:rsidR="008050FD" w:rsidRPr="00BF3C0C" w:rsidRDefault="008050FD" w:rsidP="008050FD">
      <w:pPr>
        <w:spacing w:after="90"/>
        <w:jc w:val="both"/>
        <w:rPr>
          <w:rFonts w:asciiTheme="majorBidi" w:hAnsiTheme="majorBidi" w:cstheme="majorBidi"/>
          <w:i/>
          <w:iCs/>
          <w:sz w:val="28"/>
          <w:szCs w:val="28"/>
        </w:rPr>
      </w:pPr>
      <w:r w:rsidRPr="00BF3C0C">
        <w:rPr>
          <w:rFonts w:asciiTheme="majorBidi" w:hAnsiTheme="majorBidi" w:cstheme="majorBidi"/>
          <w:i/>
          <w:iCs/>
          <w:sz w:val="28"/>
          <w:szCs w:val="28"/>
        </w:rPr>
        <w:t xml:space="preserve">Preparation of Platelet rich fibrin (PRF) </w:t>
      </w:r>
    </w:p>
    <w:p w14:paraId="77C56768" w14:textId="77777777" w:rsidR="008050FD" w:rsidRPr="00BF3C0C" w:rsidRDefault="008050FD" w:rsidP="008050FD">
      <w:pPr>
        <w:spacing w:after="90"/>
        <w:jc w:val="both"/>
        <w:rPr>
          <w:rFonts w:asciiTheme="majorBidi" w:hAnsiTheme="majorBidi" w:cstheme="majorBidi"/>
          <w:sz w:val="28"/>
          <w:szCs w:val="28"/>
        </w:rPr>
      </w:pPr>
      <w:r w:rsidRPr="00BF3C0C">
        <w:rPr>
          <w:rFonts w:asciiTheme="majorBidi" w:hAnsiTheme="majorBidi" w:cstheme="majorBidi"/>
          <w:sz w:val="28"/>
          <w:szCs w:val="28"/>
        </w:rPr>
        <w:t>Twenty milliliters of patient’s whole venous blood were collected in 2 sterile 10 ml glass test tubes without anticoagulant. Then the test tubes were placed in a table centrifuge machine at 3000 rotations per minute (rpm) for 10 minutes. The resultant product consisted of the following three layers: the top-most layer consisting of acellular platelet poor plasma (PPP), platelet rich fibrin layer (PRF) in the middle and red blood cells (RBCs) at the bottom. The PRF was then separated from PPP and RBC layer. Dental PRF box device developed for PRF membrane preparation to secure the PRF and to drain the excess fluid when compressed (Fig. 1).</w:t>
      </w:r>
    </w:p>
    <w:p w14:paraId="6B1CFD76" w14:textId="77777777" w:rsidR="008050FD" w:rsidRPr="002E2317" w:rsidRDefault="008050FD" w:rsidP="008050FD">
      <w:pPr>
        <w:spacing w:after="90"/>
        <w:jc w:val="center"/>
        <w:rPr>
          <w:rFonts w:asciiTheme="majorBidi" w:hAnsiTheme="majorBidi" w:cstheme="majorBidi"/>
        </w:rPr>
      </w:pPr>
      <w:r w:rsidRPr="002E2317">
        <w:rPr>
          <w:rFonts w:asciiTheme="majorBidi" w:hAnsiTheme="majorBidi" w:cstheme="majorBidi"/>
          <w:noProof/>
        </w:rPr>
        <w:drawing>
          <wp:inline distT="0" distB="0" distL="0" distR="0" wp14:anchorId="02C1371B" wp14:editId="496BA8D3">
            <wp:extent cx="5322570" cy="1685499"/>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5"/>
                    <a:srcRect l="17634" t="10385" r="3856" b="10987"/>
                    <a:stretch/>
                  </pic:blipFill>
                  <pic:spPr bwMode="auto">
                    <a:xfrm>
                      <a:off x="0" y="0"/>
                      <a:ext cx="5378860" cy="1703324"/>
                    </a:xfrm>
                    <a:prstGeom prst="rect">
                      <a:avLst/>
                    </a:prstGeom>
                    <a:ln>
                      <a:noFill/>
                    </a:ln>
                    <a:extLst>
                      <a:ext uri="{53640926-AAD7-44D8-BBD7-CCE9431645EC}">
                        <a14:shadowObscured xmlns:a14="http://schemas.microsoft.com/office/drawing/2010/main"/>
                      </a:ext>
                    </a:extLst>
                  </pic:spPr>
                </pic:pic>
              </a:graphicData>
            </a:graphic>
          </wp:inline>
        </w:drawing>
      </w:r>
    </w:p>
    <w:p w14:paraId="52347B4C" w14:textId="77777777" w:rsidR="008050FD" w:rsidRPr="00BF3C0C" w:rsidRDefault="008050FD" w:rsidP="008050FD">
      <w:pPr>
        <w:spacing w:after="90"/>
        <w:jc w:val="center"/>
        <w:rPr>
          <w:rFonts w:asciiTheme="majorBidi" w:hAnsiTheme="majorBidi" w:cstheme="majorBidi"/>
        </w:rPr>
      </w:pPr>
      <w:r w:rsidRPr="007D0B2B">
        <w:rPr>
          <w:rFonts w:asciiTheme="majorBidi" w:hAnsiTheme="majorBidi" w:cstheme="majorBidi"/>
          <w:b/>
          <w:bCs/>
        </w:rPr>
        <w:t>Fig. (1)</w:t>
      </w:r>
      <w:r>
        <w:rPr>
          <w:rFonts w:asciiTheme="majorBidi" w:hAnsiTheme="majorBidi" w:cstheme="majorBidi"/>
        </w:rPr>
        <w:t>:</w:t>
      </w:r>
      <w:r w:rsidRPr="00BF3C0C">
        <w:rPr>
          <w:rFonts w:asciiTheme="majorBidi" w:hAnsiTheme="majorBidi" w:cstheme="majorBidi"/>
        </w:rPr>
        <w:t xml:space="preserve"> steps of PRF preparation, A) after centrifugation and separation into 3 layers, B) PRF membrane, C) after compression in dental PRF box.</w:t>
      </w:r>
    </w:p>
    <w:p w14:paraId="1B3746DE" w14:textId="77777777" w:rsidR="008050FD" w:rsidRDefault="008050FD" w:rsidP="008050FD">
      <w:pPr>
        <w:spacing w:after="90"/>
        <w:jc w:val="both"/>
        <w:rPr>
          <w:rFonts w:asciiTheme="majorBidi" w:hAnsiTheme="majorBidi" w:cstheme="majorBidi"/>
          <w:i/>
          <w:iCs/>
          <w:sz w:val="28"/>
          <w:szCs w:val="28"/>
        </w:rPr>
      </w:pPr>
    </w:p>
    <w:p w14:paraId="32A65FFB" w14:textId="77777777" w:rsidR="008050FD" w:rsidRPr="00BF3C0C" w:rsidRDefault="008050FD" w:rsidP="008050FD">
      <w:pPr>
        <w:spacing w:after="90"/>
        <w:jc w:val="both"/>
        <w:rPr>
          <w:rFonts w:asciiTheme="majorBidi" w:hAnsiTheme="majorBidi" w:cstheme="majorBidi"/>
          <w:i/>
          <w:iCs/>
          <w:sz w:val="28"/>
          <w:szCs w:val="28"/>
        </w:rPr>
      </w:pPr>
      <w:r w:rsidRPr="00BF3C0C">
        <w:rPr>
          <w:rFonts w:asciiTheme="majorBidi" w:hAnsiTheme="majorBidi" w:cstheme="majorBidi"/>
          <w:i/>
          <w:iCs/>
          <w:sz w:val="28"/>
          <w:szCs w:val="28"/>
        </w:rPr>
        <w:t>Operative procedures</w:t>
      </w:r>
    </w:p>
    <w:p w14:paraId="33BCF5E7" w14:textId="77777777" w:rsidR="008050FD" w:rsidRPr="00BF3C0C" w:rsidRDefault="008050FD" w:rsidP="008050FD">
      <w:pPr>
        <w:spacing w:after="90"/>
        <w:jc w:val="both"/>
        <w:rPr>
          <w:rFonts w:asciiTheme="majorBidi" w:hAnsiTheme="majorBidi" w:cstheme="majorBidi"/>
          <w:sz w:val="28"/>
          <w:szCs w:val="28"/>
        </w:rPr>
      </w:pPr>
      <w:r w:rsidRPr="00BF3C0C">
        <w:rPr>
          <w:rFonts w:asciiTheme="majorBidi" w:hAnsiTheme="majorBidi" w:cstheme="majorBidi"/>
          <w:sz w:val="28"/>
          <w:szCs w:val="28"/>
        </w:rPr>
        <w:t xml:space="preserve">All procedures were performed under general anesthesia and strict aseptic conditions. The oral cavity was first disinfected with povidone-iodine, as well as extra-orally. Intermaxillary fixation (IMF) was used temporarily to adjust the occlusion. After exposing all the fracture lines through an intraoral incision, the </w:t>
      </w:r>
      <w:r w:rsidRPr="00BF3C0C">
        <w:rPr>
          <w:rFonts w:asciiTheme="majorBidi" w:hAnsiTheme="majorBidi" w:cstheme="majorBidi"/>
          <w:sz w:val="28"/>
          <w:szCs w:val="28"/>
        </w:rPr>
        <w:lastRenderedPageBreak/>
        <w:t>fractures were mobilized, and any soft tissue entrapped within the fracture lines were removed, and the bone reduction was done.</w:t>
      </w:r>
    </w:p>
    <w:p w14:paraId="733270F6" w14:textId="77777777" w:rsidR="008050FD" w:rsidRPr="00BF3C0C" w:rsidRDefault="008050FD" w:rsidP="008050FD">
      <w:pPr>
        <w:spacing w:after="90"/>
        <w:jc w:val="both"/>
        <w:rPr>
          <w:rFonts w:asciiTheme="majorBidi" w:hAnsiTheme="majorBidi" w:cstheme="majorBidi"/>
          <w:sz w:val="28"/>
          <w:szCs w:val="28"/>
        </w:rPr>
      </w:pPr>
      <w:r w:rsidRPr="00BF3C0C">
        <w:rPr>
          <w:rFonts w:asciiTheme="majorBidi" w:hAnsiTheme="majorBidi" w:cstheme="majorBidi"/>
          <w:sz w:val="28"/>
          <w:szCs w:val="28"/>
        </w:rPr>
        <w:t>Fixation of the fractures was done as follows: (Study Group A) as in (Fig. 2 A): The fracture was treated by reduction and fixation using conventional 2.0 mm miniplates and screws with placement of PRF membrane. (Control Group): as in (Fig. 2 B): The fracture was treated by reduction and fixation using conventional 2.0 mm miniplates and screws.</w:t>
      </w:r>
    </w:p>
    <w:p w14:paraId="71248998" w14:textId="77777777" w:rsidR="008050FD" w:rsidRPr="00BF3C0C" w:rsidRDefault="008050FD" w:rsidP="008050FD">
      <w:pPr>
        <w:spacing w:after="90"/>
        <w:jc w:val="both"/>
        <w:rPr>
          <w:rFonts w:asciiTheme="majorBidi" w:hAnsiTheme="majorBidi" w:cstheme="majorBidi"/>
          <w:sz w:val="28"/>
          <w:szCs w:val="28"/>
        </w:rPr>
      </w:pPr>
      <w:r w:rsidRPr="00BF3C0C">
        <w:rPr>
          <w:rFonts w:asciiTheme="majorBidi" w:hAnsiTheme="majorBidi" w:cstheme="majorBidi"/>
          <w:sz w:val="28"/>
          <w:szCs w:val="28"/>
        </w:rPr>
        <w:t>After checking the correct reduction of the fracture and the stability of the internal fixation, the IMF was removed and the wound was closed in layers using polyglycolic polylactic 3-0 suture material (Vicryl, Ethicon, Cornelia, GA, USA).</w:t>
      </w:r>
    </w:p>
    <w:p w14:paraId="21BF92B8" w14:textId="2C628323" w:rsidR="008050FD" w:rsidRPr="002E2317" w:rsidRDefault="00C46228" w:rsidP="008050FD">
      <w:pPr>
        <w:spacing w:after="90"/>
        <w:jc w:val="center"/>
        <w:rPr>
          <w:rFonts w:asciiTheme="majorBidi" w:hAnsiTheme="majorBidi" w:cstheme="majorBidi"/>
        </w:rPr>
      </w:pPr>
      <w:r w:rsidRPr="00567423">
        <w:rPr>
          <w:noProof/>
        </w:rPr>
        <w:drawing>
          <wp:inline distT="0" distB="0" distL="0" distR="0" wp14:anchorId="5A4D90DF" wp14:editId="6CBB9137">
            <wp:extent cx="5724525" cy="2400300"/>
            <wp:effectExtent l="0" t="0" r="9525" b="0"/>
            <wp:docPr id="5" name="Picture 5"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PowerPoint&#10;&#10;Description automatically generated"/>
                    <pic:cNvPicPr/>
                  </pic:nvPicPr>
                  <pic:blipFill rotWithShape="1">
                    <a:blip r:embed="rId6"/>
                    <a:srcRect l="18109" t="17674" r="3045" b="17332"/>
                    <a:stretch/>
                  </pic:blipFill>
                  <pic:spPr bwMode="auto">
                    <a:xfrm>
                      <a:off x="0" y="0"/>
                      <a:ext cx="5724525" cy="2400300"/>
                    </a:xfrm>
                    <a:prstGeom prst="rect">
                      <a:avLst/>
                    </a:prstGeom>
                    <a:ln>
                      <a:noFill/>
                    </a:ln>
                    <a:extLst>
                      <a:ext uri="{53640926-AAD7-44D8-BBD7-CCE9431645EC}">
                        <a14:shadowObscured xmlns:a14="http://schemas.microsoft.com/office/drawing/2010/main"/>
                      </a:ext>
                    </a:extLst>
                  </pic:spPr>
                </pic:pic>
              </a:graphicData>
            </a:graphic>
          </wp:inline>
        </w:drawing>
      </w:r>
    </w:p>
    <w:p w14:paraId="4D6C521E" w14:textId="77777777" w:rsidR="008050FD" w:rsidRPr="00BF3C0C" w:rsidRDefault="008050FD" w:rsidP="008050FD">
      <w:pPr>
        <w:spacing w:after="90"/>
        <w:jc w:val="center"/>
        <w:rPr>
          <w:rFonts w:asciiTheme="majorBidi" w:hAnsiTheme="majorBidi" w:cstheme="majorBidi"/>
        </w:rPr>
      </w:pPr>
      <w:r w:rsidRPr="007D0B2B">
        <w:rPr>
          <w:rFonts w:asciiTheme="majorBidi" w:hAnsiTheme="majorBidi" w:cstheme="majorBidi"/>
          <w:b/>
          <w:bCs/>
        </w:rPr>
        <w:t xml:space="preserve">Fig. (2): </w:t>
      </w:r>
      <w:r w:rsidRPr="00BF3C0C">
        <w:rPr>
          <w:rFonts w:asciiTheme="majorBidi" w:hAnsiTheme="majorBidi" w:cstheme="majorBidi"/>
        </w:rPr>
        <w:t>A) Study case showing fixation of fracture using miniplates and screws with PRF membrane (black arrow) overlying the fracture line. B) Control case showing Fixation of fracture using miniplates and screws.</w:t>
      </w:r>
    </w:p>
    <w:p w14:paraId="4F97285B" w14:textId="44206730" w:rsidR="008050FD" w:rsidRDefault="008050FD" w:rsidP="008050FD">
      <w:pPr>
        <w:spacing w:after="90"/>
        <w:jc w:val="both"/>
        <w:rPr>
          <w:rFonts w:asciiTheme="majorBidi" w:hAnsiTheme="majorBidi" w:cstheme="majorBidi"/>
          <w:sz w:val="28"/>
          <w:szCs w:val="28"/>
        </w:rPr>
      </w:pPr>
      <w:r w:rsidRPr="00BF3C0C">
        <w:rPr>
          <w:rFonts w:asciiTheme="majorBidi" w:hAnsiTheme="majorBidi" w:cstheme="majorBidi"/>
          <w:sz w:val="28"/>
          <w:szCs w:val="28"/>
        </w:rPr>
        <w:t>Computed tomography (CT) was performed immediately postoperative, at 3 months and at 6 months consequently to evaluate the adequacy of the reduction of the fractured segment, the progress of the healing process and measurement of the mean bone density at the site of the fracture line by using 3 points at each region of interest [ROI], these 3 points distributed inside the fracture line then taking their mean value to determine the mean bone density (Fig.3). The pain was assessed using numerical rating scale (NRS) during 1</w:t>
      </w:r>
      <w:r w:rsidRPr="00BF3C0C">
        <w:rPr>
          <w:rFonts w:asciiTheme="majorBidi" w:hAnsiTheme="majorBidi" w:cstheme="majorBidi"/>
          <w:sz w:val="28"/>
          <w:szCs w:val="28"/>
          <w:vertAlign w:val="superscript"/>
        </w:rPr>
        <w:t>st</w:t>
      </w:r>
      <w:r w:rsidRPr="00BF3C0C">
        <w:rPr>
          <w:rFonts w:asciiTheme="majorBidi" w:hAnsiTheme="majorBidi" w:cstheme="majorBidi"/>
          <w:sz w:val="28"/>
          <w:szCs w:val="28"/>
        </w:rPr>
        <w:t>, 3</w:t>
      </w:r>
      <w:r w:rsidRPr="00BF3C0C">
        <w:rPr>
          <w:rFonts w:asciiTheme="majorBidi" w:hAnsiTheme="majorBidi" w:cstheme="majorBidi"/>
          <w:sz w:val="28"/>
          <w:szCs w:val="28"/>
          <w:vertAlign w:val="superscript"/>
        </w:rPr>
        <w:t>rd</w:t>
      </w:r>
      <w:r w:rsidRPr="00BF3C0C">
        <w:rPr>
          <w:rFonts w:asciiTheme="majorBidi" w:hAnsiTheme="majorBidi" w:cstheme="majorBidi"/>
          <w:sz w:val="28"/>
          <w:szCs w:val="28"/>
        </w:rPr>
        <w:t xml:space="preserve"> day and 1 week postoperatively, as well as maximum mouth opening.</w:t>
      </w:r>
    </w:p>
    <w:p w14:paraId="33D2BF20" w14:textId="77777777" w:rsidR="000D4A49" w:rsidRDefault="000D4A49" w:rsidP="000D4A49">
      <w:pPr>
        <w:spacing w:after="90"/>
        <w:rPr>
          <w:rFonts w:asciiTheme="majorBidi" w:hAnsiTheme="majorBidi" w:cstheme="majorBidi"/>
          <w:sz w:val="28"/>
          <w:szCs w:val="28"/>
        </w:rPr>
      </w:pPr>
    </w:p>
    <w:p w14:paraId="102FC323" w14:textId="7EA8FBD9" w:rsidR="000D4A49" w:rsidRPr="000D4A49" w:rsidRDefault="000D4A49" w:rsidP="000D4A49">
      <w:pPr>
        <w:spacing w:after="90"/>
        <w:rPr>
          <w:rFonts w:asciiTheme="majorBidi" w:hAnsiTheme="majorBidi" w:cstheme="majorBidi"/>
          <w:b/>
          <w:bCs/>
          <w:i/>
          <w:iCs/>
          <w:sz w:val="28"/>
          <w:szCs w:val="28"/>
          <w:u w:val="single"/>
        </w:rPr>
      </w:pPr>
      <w:r w:rsidRPr="000D4A49">
        <w:rPr>
          <w:rFonts w:asciiTheme="majorBidi" w:hAnsiTheme="majorBidi" w:cstheme="majorBidi"/>
          <w:b/>
          <w:bCs/>
          <w:i/>
          <w:iCs/>
          <w:sz w:val="28"/>
          <w:szCs w:val="28"/>
          <w:u w:val="single"/>
        </w:rPr>
        <w:t xml:space="preserve">Statistical analysis </w:t>
      </w:r>
    </w:p>
    <w:p w14:paraId="135DC26A" w14:textId="77777777" w:rsidR="000D4A49" w:rsidRPr="000D4A49" w:rsidRDefault="000D4A49" w:rsidP="000D4A49">
      <w:pPr>
        <w:spacing w:after="90"/>
        <w:rPr>
          <w:rFonts w:asciiTheme="majorBidi" w:hAnsiTheme="majorBidi" w:cstheme="majorBidi"/>
          <w:sz w:val="28"/>
          <w:szCs w:val="28"/>
        </w:rPr>
      </w:pPr>
      <w:r w:rsidRPr="000D4A49">
        <w:rPr>
          <w:rFonts w:asciiTheme="majorBidi" w:hAnsiTheme="majorBidi" w:cstheme="majorBidi"/>
          <w:sz w:val="28"/>
          <w:szCs w:val="28"/>
        </w:rPr>
        <w:t xml:space="preserve">The data were recorded on an “Investigation report form”. These data were tabulated, coded then analyzed using the computer program SPSS (Statistical package for social science) version 26. Descriptive statistics were calculated for the data in the form of Mean and Standard deviation (±SD) or Number and percent. In the statistical comparison between the different groups, the significance of difference was tested using Student's t-test to compare between </w:t>
      </w:r>
      <w:r w:rsidRPr="000D4A49">
        <w:rPr>
          <w:rFonts w:asciiTheme="majorBidi" w:hAnsiTheme="majorBidi" w:cstheme="majorBidi"/>
          <w:sz w:val="28"/>
          <w:szCs w:val="28"/>
        </w:rPr>
        <w:lastRenderedPageBreak/>
        <w:t xml:space="preserve">mean of two groups of numerical (parametric) data, for continuous non- parametric data, Mann-Whitney U- test was used for inter-group analysis, ANOVA test to compare between more than two groups of numerical (parametric) data, for continuous non- parametric data, Friedman test was used, post-hoc analysis was used for in between group analysis. Inter-group comparison of categorical data was performed by using chi square test (X2-value). P value &lt;0.05 was considered statistically significant (S) in all analyses.  </w:t>
      </w:r>
    </w:p>
    <w:p w14:paraId="2A237B00" w14:textId="77777777" w:rsidR="000D4A49" w:rsidRPr="00BF3C0C" w:rsidRDefault="000D4A49" w:rsidP="008050FD">
      <w:pPr>
        <w:spacing w:after="90"/>
        <w:jc w:val="both"/>
        <w:rPr>
          <w:rFonts w:asciiTheme="majorBidi" w:hAnsiTheme="majorBidi" w:cstheme="majorBidi"/>
          <w:sz w:val="28"/>
          <w:szCs w:val="28"/>
        </w:rPr>
      </w:pPr>
    </w:p>
    <w:p w14:paraId="74F414A1" w14:textId="77777777" w:rsidR="008050FD" w:rsidRPr="002E2317" w:rsidRDefault="008050FD" w:rsidP="008050FD">
      <w:pPr>
        <w:spacing w:after="90"/>
        <w:rPr>
          <w:rFonts w:asciiTheme="majorBidi" w:hAnsiTheme="majorBidi" w:cstheme="majorBidi"/>
        </w:rPr>
      </w:pPr>
      <w:r w:rsidRPr="002E2317">
        <w:rPr>
          <w:rFonts w:asciiTheme="majorBidi" w:eastAsia="Times New Roman" w:hAnsiTheme="majorBidi" w:cstheme="majorBidi"/>
          <w:noProof/>
        </w:rPr>
        <w:drawing>
          <wp:inline distT="0" distB="0" distL="0" distR="0" wp14:anchorId="67F96014" wp14:editId="64E7BAC0">
            <wp:extent cx="5726300" cy="1985749"/>
            <wp:effectExtent l="0" t="0" r="8255" b="0"/>
            <wp:docPr id="16" name="Picture 1" descr="A picture containing 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149" cy="1997834"/>
                    </a:xfrm>
                    <a:prstGeom prst="rect">
                      <a:avLst/>
                    </a:prstGeom>
                    <a:noFill/>
                    <a:ln>
                      <a:noFill/>
                    </a:ln>
                  </pic:spPr>
                </pic:pic>
              </a:graphicData>
            </a:graphic>
          </wp:inline>
        </w:drawing>
      </w:r>
    </w:p>
    <w:p w14:paraId="52C86211" w14:textId="77777777" w:rsidR="008050FD" w:rsidRPr="002E2317" w:rsidRDefault="008050FD" w:rsidP="008050FD">
      <w:pPr>
        <w:spacing w:after="90"/>
        <w:jc w:val="center"/>
        <w:rPr>
          <w:rFonts w:asciiTheme="majorBidi" w:hAnsiTheme="majorBidi" w:cstheme="majorBidi"/>
          <w:sz w:val="18"/>
          <w:szCs w:val="18"/>
          <w:lang w:val="en-GB"/>
        </w:rPr>
      </w:pPr>
      <w:r w:rsidRPr="007D0B2B">
        <w:rPr>
          <w:rFonts w:asciiTheme="majorBidi" w:hAnsiTheme="majorBidi" w:cstheme="majorBidi"/>
          <w:b/>
          <w:bCs/>
        </w:rPr>
        <w:t>Fig. (3):</w:t>
      </w:r>
      <w:r w:rsidRPr="00BF3C0C">
        <w:rPr>
          <w:rFonts w:asciiTheme="majorBidi" w:hAnsiTheme="majorBidi" w:cstheme="majorBidi"/>
        </w:rPr>
        <w:t xml:space="preserve"> </w:t>
      </w:r>
      <w:r w:rsidRPr="00BF3C0C">
        <w:rPr>
          <w:rFonts w:asciiTheme="majorBidi" w:hAnsiTheme="majorBidi" w:cstheme="majorBidi"/>
          <w:lang w:val="en-GB"/>
        </w:rPr>
        <w:t xml:space="preserve">3 points are taken along </w:t>
      </w:r>
      <w:bookmarkStart w:id="3" w:name="_Hlk106164926"/>
      <w:r w:rsidRPr="00BF3C0C">
        <w:rPr>
          <w:rFonts w:asciiTheme="majorBidi" w:hAnsiTheme="majorBidi" w:cstheme="majorBidi"/>
          <w:lang w:val="en-GB"/>
        </w:rPr>
        <w:t>ROI</w:t>
      </w:r>
      <w:bookmarkEnd w:id="3"/>
      <w:r w:rsidRPr="00BF3C0C">
        <w:rPr>
          <w:rFonts w:asciiTheme="majorBidi" w:hAnsiTheme="majorBidi" w:cstheme="majorBidi"/>
          <w:lang w:val="en-GB"/>
        </w:rPr>
        <w:t xml:space="preserve"> on left angle of mandible, a) Evidence of linear fracture line along the left mandibular angle, b) reaction denoting progress of bone healing with decreased bone gap at fracture line, c) Increased bone density with barely perceived fracture line</w:t>
      </w:r>
      <w:r w:rsidRPr="002E2317">
        <w:rPr>
          <w:rFonts w:asciiTheme="majorBidi" w:hAnsiTheme="majorBidi" w:cstheme="majorBidi"/>
          <w:sz w:val="18"/>
          <w:szCs w:val="18"/>
          <w:lang w:val="en-GB"/>
        </w:rPr>
        <w:t>.</w:t>
      </w:r>
    </w:p>
    <w:p w14:paraId="6C67107F" w14:textId="77777777" w:rsidR="008050FD" w:rsidRPr="002E2317" w:rsidRDefault="008050FD" w:rsidP="008050FD">
      <w:pPr>
        <w:spacing w:after="90"/>
        <w:jc w:val="both"/>
        <w:rPr>
          <w:rFonts w:asciiTheme="majorBidi" w:hAnsiTheme="majorBidi" w:cstheme="majorBidi"/>
          <w:sz w:val="32"/>
          <w:szCs w:val="32"/>
        </w:rPr>
      </w:pPr>
      <w:r w:rsidRPr="002E2317">
        <w:rPr>
          <w:rFonts w:asciiTheme="majorBidi" w:hAnsiTheme="majorBidi" w:cstheme="majorBidi"/>
          <w:b/>
          <w:bCs/>
          <w:sz w:val="32"/>
          <w:szCs w:val="32"/>
        </w:rPr>
        <w:t>Results</w:t>
      </w:r>
    </w:p>
    <w:p w14:paraId="48F0CEAC" w14:textId="77777777" w:rsidR="008050FD" w:rsidRDefault="008050FD" w:rsidP="008050FD">
      <w:pPr>
        <w:jc w:val="both"/>
        <w:rPr>
          <w:rFonts w:asciiTheme="majorBidi" w:hAnsiTheme="majorBidi" w:cstheme="majorBidi"/>
          <w:sz w:val="28"/>
          <w:szCs w:val="28"/>
        </w:rPr>
      </w:pPr>
      <w:r w:rsidRPr="00BF3C0C">
        <w:rPr>
          <w:rFonts w:asciiTheme="majorBidi" w:hAnsiTheme="majorBidi" w:cstheme="majorBidi"/>
          <w:sz w:val="28"/>
          <w:szCs w:val="28"/>
        </w:rPr>
        <w:t>In the present study, there was 35 males and 5 females, age ranging from 18 to 50 years were included with a mean of 25.8±8.3. The main cause of mandibular fracture was road traffic accident in 25 patients.</w:t>
      </w:r>
      <w:r w:rsidRPr="00BF3C0C">
        <w:rPr>
          <w:rFonts w:asciiTheme="majorBidi" w:eastAsia="Times New Roman" w:hAnsiTheme="majorBidi" w:cstheme="majorBidi"/>
          <w:sz w:val="28"/>
          <w:szCs w:val="28"/>
        </w:rPr>
        <w:t xml:space="preserve"> </w:t>
      </w:r>
      <w:r w:rsidRPr="00BF3C0C">
        <w:rPr>
          <w:rFonts w:asciiTheme="majorBidi" w:hAnsiTheme="majorBidi" w:cstheme="majorBidi"/>
          <w:sz w:val="28"/>
          <w:szCs w:val="28"/>
        </w:rPr>
        <w:t>while 8 patients were due to fall from a height and 7 patients due to violence. Results showed he mean bone density was for study group at 1week, 3 months and 6 months 270.80±79.60, 575.40±83.49 and 890.10±130.55 respectively, in contrast to control group where the mean bone density was 223.00±53.53, 408.80±76.59 and 635.80±94.58 for 1 week, 3months and 6 months respectively,</w:t>
      </w:r>
      <w:r w:rsidRPr="00BF3C0C">
        <w:rPr>
          <w:rFonts w:asciiTheme="majorBidi" w:eastAsia="Times New Roman" w:hAnsiTheme="majorBidi" w:cstheme="majorBidi"/>
          <w:sz w:val="28"/>
          <w:szCs w:val="28"/>
        </w:rPr>
        <w:t xml:space="preserve"> </w:t>
      </w:r>
      <w:r w:rsidRPr="00BF3C0C">
        <w:rPr>
          <w:rFonts w:asciiTheme="majorBidi" w:hAnsiTheme="majorBidi" w:cstheme="majorBidi"/>
          <w:sz w:val="28"/>
          <w:szCs w:val="28"/>
        </w:rPr>
        <w:t>the difference between both groups was found to be statistically significant (table,1). Also, there was observable significant increase in bone density for 3 months and 6 months follow up period compared to 1 week in both group</w:t>
      </w:r>
      <w:r>
        <w:rPr>
          <w:rFonts w:asciiTheme="majorBidi" w:hAnsiTheme="majorBidi" w:cstheme="majorBidi"/>
          <w:sz w:val="28"/>
          <w:szCs w:val="28"/>
        </w:rPr>
        <w:t>s</w:t>
      </w:r>
      <w:r w:rsidRPr="00BF3C0C">
        <w:rPr>
          <w:rFonts w:asciiTheme="majorBidi" w:hAnsiTheme="majorBidi" w:cstheme="majorBidi"/>
          <w:sz w:val="28"/>
          <w:szCs w:val="28"/>
        </w:rPr>
        <w:t xml:space="preserve">. </w:t>
      </w:r>
    </w:p>
    <w:p w14:paraId="5935841C" w14:textId="77777777" w:rsidR="008050FD" w:rsidRPr="005D5D59" w:rsidRDefault="008050FD" w:rsidP="008050FD">
      <w:pPr>
        <w:jc w:val="both"/>
        <w:rPr>
          <w:rFonts w:asciiTheme="majorBidi" w:hAnsiTheme="majorBidi" w:cstheme="majorBidi"/>
          <w:sz w:val="28"/>
          <w:szCs w:val="28"/>
        </w:rPr>
      </w:pPr>
    </w:p>
    <w:p w14:paraId="751A0806" w14:textId="77777777" w:rsidR="008050FD" w:rsidRPr="002E2317" w:rsidRDefault="008050FD" w:rsidP="008050FD">
      <w:pPr>
        <w:rPr>
          <w:rFonts w:asciiTheme="majorBidi" w:hAnsiTheme="majorBidi" w:cstheme="majorBidi"/>
          <w:i/>
          <w:iCs/>
        </w:rPr>
      </w:pPr>
      <w:r w:rsidRPr="002E2317">
        <w:rPr>
          <w:rFonts w:asciiTheme="majorBidi" w:hAnsiTheme="majorBidi" w:cstheme="majorBidi"/>
          <w:b/>
          <w:bCs/>
          <w:i/>
          <w:iCs/>
        </w:rPr>
        <w:t>Table (1):</w:t>
      </w:r>
      <w:r w:rsidRPr="002E2317">
        <w:rPr>
          <w:rFonts w:asciiTheme="majorBidi" w:hAnsiTheme="majorBidi" w:cstheme="majorBidi"/>
          <w:i/>
          <w:iCs/>
        </w:rPr>
        <w:t xml:space="preserve"> Comparison between the two studied groups according to bone density.</w:t>
      </w:r>
    </w:p>
    <w:tbl>
      <w:tblPr>
        <w:tblStyle w:val="GridTable1Light"/>
        <w:tblW w:w="4911" w:type="pct"/>
        <w:jc w:val="center"/>
        <w:tblBorders>
          <w:top w:val="double" w:sz="12" w:space="0" w:color="385623" w:themeColor="accent6" w:themeShade="80"/>
          <w:left w:val="double" w:sz="12" w:space="0" w:color="385623" w:themeColor="accent6" w:themeShade="80"/>
          <w:bottom w:val="double" w:sz="12" w:space="0" w:color="385623" w:themeColor="accent6" w:themeShade="80"/>
          <w:right w:val="double" w:sz="12" w:space="0" w:color="385623" w:themeColor="accent6" w:themeShade="80"/>
        </w:tblBorders>
        <w:tblLook w:val="0000" w:firstRow="0" w:lastRow="0" w:firstColumn="0" w:lastColumn="0" w:noHBand="0" w:noVBand="0"/>
      </w:tblPr>
      <w:tblGrid>
        <w:gridCol w:w="1294"/>
        <w:gridCol w:w="1062"/>
        <w:gridCol w:w="1254"/>
        <w:gridCol w:w="1252"/>
        <w:gridCol w:w="1252"/>
        <w:gridCol w:w="1461"/>
        <w:gridCol w:w="1196"/>
      </w:tblGrid>
      <w:tr w:rsidR="008050FD" w:rsidRPr="002E2317" w14:paraId="57B25C9C" w14:textId="77777777" w:rsidTr="00EB6B49">
        <w:trPr>
          <w:trHeight w:val="324"/>
          <w:jc w:val="center"/>
        </w:trPr>
        <w:tc>
          <w:tcPr>
            <w:tcW w:w="737" w:type="pct"/>
            <w:vMerge w:val="restart"/>
            <w:tcBorders>
              <w:top w:val="double" w:sz="12" w:space="0" w:color="385623" w:themeColor="accent6" w:themeShade="80"/>
            </w:tcBorders>
            <w:shd w:val="clear" w:color="auto" w:fill="A8D08D" w:themeFill="accent6" w:themeFillTint="99"/>
          </w:tcPr>
          <w:p w14:paraId="02B2D6EE" w14:textId="77777777" w:rsidR="008050FD" w:rsidRPr="002E2317" w:rsidRDefault="008050FD" w:rsidP="00EB6B49">
            <w:pPr>
              <w:jc w:val="both"/>
              <w:rPr>
                <w:rFonts w:asciiTheme="majorBidi" w:hAnsiTheme="majorBidi" w:cstheme="majorBidi"/>
                <w:b/>
                <w:bCs/>
                <w:lang w:val="en-GB"/>
              </w:rPr>
            </w:pPr>
          </w:p>
        </w:tc>
        <w:tc>
          <w:tcPr>
            <w:tcW w:w="1320" w:type="pct"/>
            <w:gridSpan w:val="2"/>
            <w:tcBorders>
              <w:top w:val="double" w:sz="12" w:space="0" w:color="385623" w:themeColor="accent6" w:themeShade="80"/>
            </w:tcBorders>
            <w:shd w:val="clear" w:color="auto" w:fill="A8D08D" w:themeFill="accent6" w:themeFillTint="99"/>
          </w:tcPr>
          <w:p w14:paraId="21EC089B" w14:textId="77777777" w:rsidR="008050FD" w:rsidRPr="002E2317" w:rsidRDefault="008050FD" w:rsidP="00EB6B49">
            <w:pPr>
              <w:jc w:val="both"/>
              <w:rPr>
                <w:rFonts w:asciiTheme="majorBidi" w:hAnsiTheme="majorBidi" w:cstheme="majorBidi"/>
                <w:b/>
                <w:bCs/>
                <w:lang w:val="en-GB"/>
              </w:rPr>
            </w:pPr>
            <w:r w:rsidRPr="002E2317">
              <w:rPr>
                <w:rFonts w:asciiTheme="majorBidi" w:hAnsiTheme="majorBidi" w:cstheme="majorBidi"/>
                <w:b/>
                <w:bCs/>
                <w:lang w:val="en-GB"/>
              </w:rPr>
              <w:t>Group A (n=20)</w:t>
            </w:r>
          </w:p>
        </w:tc>
        <w:tc>
          <w:tcPr>
            <w:tcW w:w="1428" w:type="pct"/>
            <w:gridSpan w:val="2"/>
            <w:tcBorders>
              <w:top w:val="double" w:sz="12" w:space="0" w:color="385623" w:themeColor="accent6" w:themeShade="80"/>
            </w:tcBorders>
            <w:shd w:val="clear" w:color="auto" w:fill="A8D08D" w:themeFill="accent6" w:themeFillTint="99"/>
          </w:tcPr>
          <w:p w14:paraId="7712F93A" w14:textId="77777777" w:rsidR="008050FD" w:rsidRPr="002E2317" w:rsidRDefault="008050FD" w:rsidP="00EB6B49">
            <w:pPr>
              <w:jc w:val="both"/>
              <w:rPr>
                <w:rFonts w:asciiTheme="majorBidi" w:hAnsiTheme="majorBidi" w:cstheme="majorBidi"/>
                <w:b/>
                <w:bCs/>
                <w:lang w:val="en-GB"/>
              </w:rPr>
            </w:pPr>
            <w:r w:rsidRPr="002E2317">
              <w:rPr>
                <w:rFonts w:asciiTheme="majorBidi" w:hAnsiTheme="majorBidi" w:cstheme="majorBidi"/>
                <w:b/>
                <w:bCs/>
                <w:lang w:val="en-GB"/>
              </w:rPr>
              <w:t>Group B (n=20)</w:t>
            </w:r>
          </w:p>
        </w:tc>
        <w:tc>
          <w:tcPr>
            <w:tcW w:w="833" w:type="pct"/>
            <w:vMerge w:val="restart"/>
            <w:tcBorders>
              <w:top w:val="double" w:sz="12" w:space="0" w:color="385623" w:themeColor="accent6" w:themeShade="80"/>
            </w:tcBorders>
            <w:shd w:val="clear" w:color="auto" w:fill="A8D08D" w:themeFill="accent6" w:themeFillTint="99"/>
          </w:tcPr>
          <w:p w14:paraId="2DF00B86" w14:textId="77777777" w:rsidR="008050FD" w:rsidRPr="002E2317" w:rsidRDefault="008050FD" w:rsidP="00EB6B49">
            <w:pPr>
              <w:jc w:val="both"/>
              <w:rPr>
                <w:rFonts w:asciiTheme="majorBidi" w:hAnsiTheme="majorBidi" w:cstheme="majorBidi"/>
                <w:b/>
                <w:bCs/>
                <w:lang w:val="en-GB"/>
              </w:rPr>
            </w:pPr>
            <w:r w:rsidRPr="002E2317">
              <w:rPr>
                <w:rFonts w:asciiTheme="majorBidi" w:hAnsiTheme="majorBidi" w:cstheme="majorBidi"/>
                <w:b/>
                <w:bCs/>
                <w:lang w:val="en-GB"/>
              </w:rPr>
              <w:t>Test of sig.</w:t>
            </w:r>
          </w:p>
        </w:tc>
        <w:tc>
          <w:tcPr>
            <w:tcW w:w="682" w:type="pct"/>
            <w:vMerge w:val="restart"/>
            <w:tcBorders>
              <w:top w:val="double" w:sz="12" w:space="0" w:color="385623" w:themeColor="accent6" w:themeShade="80"/>
            </w:tcBorders>
            <w:shd w:val="clear" w:color="auto" w:fill="A8D08D" w:themeFill="accent6" w:themeFillTint="99"/>
          </w:tcPr>
          <w:p w14:paraId="6CF6EB6B" w14:textId="77777777" w:rsidR="008050FD" w:rsidRPr="002E2317" w:rsidRDefault="008050FD" w:rsidP="00EB6B49">
            <w:pPr>
              <w:jc w:val="both"/>
              <w:rPr>
                <w:rFonts w:asciiTheme="majorBidi" w:hAnsiTheme="majorBidi" w:cstheme="majorBidi"/>
                <w:b/>
                <w:bCs/>
                <w:lang w:val="en-GB"/>
              </w:rPr>
            </w:pPr>
            <w:r w:rsidRPr="002E2317">
              <w:rPr>
                <w:rFonts w:asciiTheme="majorBidi" w:hAnsiTheme="majorBidi" w:cstheme="majorBidi"/>
                <w:b/>
                <w:bCs/>
                <w:lang w:val="en-GB"/>
              </w:rPr>
              <w:t>p-value</w:t>
            </w:r>
          </w:p>
        </w:tc>
      </w:tr>
      <w:tr w:rsidR="008050FD" w:rsidRPr="002E2317" w14:paraId="36A86972" w14:textId="77777777" w:rsidTr="00EB6B49">
        <w:trPr>
          <w:trHeight w:val="269"/>
          <w:jc w:val="center"/>
        </w:trPr>
        <w:tc>
          <w:tcPr>
            <w:tcW w:w="737" w:type="pct"/>
            <w:vMerge/>
            <w:shd w:val="clear" w:color="auto" w:fill="A8D08D" w:themeFill="accent6" w:themeFillTint="99"/>
          </w:tcPr>
          <w:p w14:paraId="7097A682" w14:textId="77777777" w:rsidR="008050FD" w:rsidRPr="002E2317" w:rsidRDefault="008050FD" w:rsidP="00EB6B49">
            <w:pPr>
              <w:jc w:val="both"/>
              <w:rPr>
                <w:rFonts w:asciiTheme="majorBidi" w:hAnsiTheme="majorBidi" w:cstheme="majorBidi"/>
                <w:b/>
                <w:bCs/>
                <w:lang w:val="en-GB"/>
              </w:rPr>
            </w:pPr>
          </w:p>
        </w:tc>
        <w:tc>
          <w:tcPr>
            <w:tcW w:w="605" w:type="pct"/>
            <w:shd w:val="clear" w:color="auto" w:fill="A8D08D" w:themeFill="accent6" w:themeFillTint="99"/>
          </w:tcPr>
          <w:p w14:paraId="04DBC144" w14:textId="77777777" w:rsidR="008050FD" w:rsidRPr="002E2317" w:rsidRDefault="008050FD" w:rsidP="00EB6B49">
            <w:pPr>
              <w:jc w:val="both"/>
              <w:rPr>
                <w:rFonts w:asciiTheme="majorBidi" w:hAnsiTheme="majorBidi" w:cstheme="majorBidi"/>
                <w:b/>
                <w:bCs/>
                <w:lang w:val="en-GB"/>
              </w:rPr>
            </w:pPr>
            <w:r w:rsidRPr="002E2317">
              <w:rPr>
                <w:rFonts w:asciiTheme="majorBidi" w:hAnsiTheme="majorBidi" w:cstheme="majorBidi"/>
                <w:b/>
                <w:bCs/>
                <w:lang w:val="en-GB"/>
              </w:rPr>
              <w:t>Mean</w:t>
            </w:r>
          </w:p>
        </w:tc>
        <w:tc>
          <w:tcPr>
            <w:tcW w:w="715" w:type="pct"/>
            <w:shd w:val="clear" w:color="auto" w:fill="A8D08D" w:themeFill="accent6" w:themeFillTint="99"/>
          </w:tcPr>
          <w:p w14:paraId="7D9200E0" w14:textId="77777777" w:rsidR="008050FD" w:rsidRPr="002E2317" w:rsidRDefault="008050FD" w:rsidP="00EB6B49">
            <w:pPr>
              <w:jc w:val="both"/>
              <w:rPr>
                <w:rFonts w:asciiTheme="majorBidi" w:hAnsiTheme="majorBidi" w:cstheme="majorBidi"/>
                <w:b/>
                <w:bCs/>
                <w:lang w:val="en-GB"/>
              </w:rPr>
            </w:pPr>
            <w:r w:rsidRPr="002E2317">
              <w:rPr>
                <w:rFonts w:asciiTheme="majorBidi" w:hAnsiTheme="majorBidi" w:cstheme="majorBidi"/>
                <w:b/>
                <w:bCs/>
                <w:lang w:val="en-GB"/>
              </w:rPr>
              <w:t>S. D</w:t>
            </w:r>
          </w:p>
        </w:tc>
        <w:tc>
          <w:tcPr>
            <w:tcW w:w="714" w:type="pct"/>
            <w:shd w:val="clear" w:color="auto" w:fill="A8D08D" w:themeFill="accent6" w:themeFillTint="99"/>
          </w:tcPr>
          <w:p w14:paraId="653893E6" w14:textId="77777777" w:rsidR="008050FD" w:rsidRPr="002E2317" w:rsidRDefault="008050FD" w:rsidP="00EB6B49">
            <w:pPr>
              <w:jc w:val="both"/>
              <w:rPr>
                <w:rFonts w:asciiTheme="majorBidi" w:hAnsiTheme="majorBidi" w:cstheme="majorBidi"/>
                <w:b/>
                <w:bCs/>
                <w:lang w:val="en-GB"/>
              </w:rPr>
            </w:pPr>
            <w:r w:rsidRPr="002E2317">
              <w:rPr>
                <w:rFonts w:asciiTheme="majorBidi" w:hAnsiTheme="majorBidi" w:cstheme="majorBidi"/>
                <w:b/>
                <w:bCs/>
                <w:lang w:val="en-GB"/>
              </w:rPr>
              <w:t>Mean</w:t>
            </w:r>
          </w:p>
        </w:tc>
        <w:tc>
          <w:tcPr>
            <w:tcW w:w="714" w:type="pct"/>
            <w:shd w:val="clear" w:color="auto" w:fill="A8D08D" w:themeFill="accent6" w:themeFillTint="99"/>
          </w:tcPr>
          <w:p w14:paraId="468EC894" w14:textId="77777777" w:rsidR="008050FD" w:rsidRPr="002E2317" w:rsidRDefault="008050FD" w:rsidP="00EB6B49">
            <w:pPr>
              <w:jc w:val="both"/>
              <w:rPr>
                <w:rFonts w:asciiTheme="majorBidi" w:hAnsiTheme="majorBidi" w:cstheme="majorBidi"/>
                <w:b/>
                <w:bCs/>
                <w:lang w:val="en-GB"/>
              </w:rPr>
            </w:pPr>
            <w:r w:rsidRPr="002E2317">
              <w:rPr>
                <w:rFonts w:asciiTheme="majorBidi" w:hAnsiTheme="majorBidi" w:cstheme="majorBidi"/>
                <w:b/>
                <w:bCs/>
                <w:lang w:val="en-GB"/>
              </w:rPr>
              <w:t>S. D</w:t>
            </w:r>
          </w:p>
        </w:tc>
        <w:tc>
          <w:tcPr>
            <w:tcW w:w="833" w:type="pct"/>
            <w:vMerge/>
            <w:shd w:val="clear" w:color="auto" w:fill="A8D08D" w:themeFill="accent6" w:themeFillTint="99"/>
          </w:tcPr>
          <w:p w14:paraId="6EB1B06D" w14:textId="77777777" w:rsidR="008050FD" w:rsidRPr="002E2317" w:rsidRDefault="008050FD" w:rsidP="00EB6B49">
            <w:pPr>
              <w:jc w:val="both"/>
              <w:rPr>
                <w:rFonts w:asciiTheme="majorBidi" w:hAnsiTheme="majorBidi" w:cstheme="majorBidi"/>
                <w:b/>
                <w:bCs/>
                <w:lang w:val="en-GB"/>
              </w:rPr>
            </w:pPr>
          </w:p>
        </w:tc>
        <w:tc>
          <w:tcPr>
            <w:tcW w:w="682" w:type="pct"/>
            <w:vMerge/>
            <w:shd w:val="clear" w:color="auto" w:fill="A8D08D" w:themeFill="accent6" w:themeFillTint="99"/>
          </w:tcPr>
          <w:p w14:paraId="31CA3D8F" w14:textId="77777777" w:rsidR="008050FD" w:rsidRPr="002E2317" w:rsidRDefault="008050FD" w:rsidP="00EB6B49">
            <w:pPr>
              <w:jc w:val="both"/>
              <w:rPr>
                <w:rFonts w:asciiTheme="majorBidi" w:hAnsiTheme="majorBidi" w:cstheme="majorBidi"/>
                <w:b/>
                <w:bCs/>
                <w:lang w:val="en-GB"/>
              </w:rPr>
            </w:pPr>
          </w:p>
        </w:tc>
      </w:tr>
      <w:tr w:rsidR="008050FD" w:rsidRPr="002E2317" w14:paraId="14D5458E" w14:textId="77777777" w:rsidTr="00EB6B49">
        <w:trPr>
          <w:trHeight w:val="278"/>
          <w:jc w:val="center"/>
        </w:trPr>
        <w:tc>
          <w:tcPr>
            <w:tcW w:w="737" w:type="pct"/>
            <w:shd w:val="clear" w:color="auto" w:fill="A8D08D" w:themeFill="accent6" w:themeFillTint="99"/>
          </w:tcPr>
          <w:p w14:paraId="75E213BA" w14:textId="77777777" w:rsidR="008050FD" w:rsidRPr="002E2317" w:rsidRDefault="008050FD" w:rsidP="00EB6B49">
            <w:pPr>
              <w:jc w:val="both"/>
              <w:rPr>
                <w:rFonts w:asciiTheme="majorBidi" w:hAnsiTheme="majorBidi" w:cstheme="majorBidi"/>
                <w:b/>
                <w:bCs/>
                <w:lang w:val="en-GB"/>
              </w:rPr>
            </w:pPr>
            <w:r w:rsidRPr="002E2317">
              <w:rPr>
                <w:rFonts w:asciiTheme="majorBidi" w:hAnsiTheme="majorBidi" w:cstheme="majorBidi"/>
                <w:b/>
                <w:bCs/>
                <w:lang w:val="en-GB"/>
              </w:rPr>
              <w:t>1 week</w:t>
            </w:r>
          </w:p>
        </w:tc>
        <w:tc>
          <w:tcPr>
            <w:tcW w:w="605" w:type="pct"/>
          </w:tcPr>
          <w:p w14:paraId="7D1BB430" w14:textId="77777777" w:rsidR="008050FD" w:rsidRPr="002E2317" w:rsidRDefault="008050FD" w:rsidP="00EB6B49">
            <w:pPr>
              <w:jc w:val="both"/>
              <w:rPr>
                <w:rFonts w:asciiTheme="majorBidi" w:hAnsiTheme="majorBidi" w:cstheme="majorBidi"/>
                <w:b/>
                <w:bCs/>
                <w:lang w:val="en-GB"/>
              </w:rPr>
            </w:pPr>
            <w:r w:rsidRPr="002E2317">
              <w:rPr>
                <w:rFonts w:asciiTheme="majorBidi" w:hAnsiTheme="majorBidi" w:cstheme="majorBidi"/>
                <w:b/>
                <w:bCs/>
                <w:lang w:val="en-GB"/>
              </w:rPr>
              <w:t>270.80</w:t>
            </w:r>
          </w:p>
        </w:tc>
        <w:tc>
          <w:tcPr>
            <w:tcW w:w="715" w:type="pct"/>
          </w:tcPr>
          <w:p w14:paraId="2ADC8BC0" w14:textId="77777777" w:rsidR="008050FD" w:rsidRPr="002E2317" w:rsidRDefault="008050FD" w:rsidP="00EB6B49">
            <w:pPr>
              <w:jc w:val="both"/>
              <w:rPr>
                <w:rFonts w:asciiTheme="majorBidi" w:hAnsiTheme="majorBidi" w:cstheme="majorBidi"/>
                <w:b/>
                <w:bCs/>
                <w:lang w:val="en-GB"/>
              </w:rPr>
            </w:pPr>
            <w:r w:rsidRPr="002E2317">
              <w:rPr>
                <w:rFonts w:asciiTheme="majorBidi" w:hAnsiTheme="majorBidi" w:cstheme="majorBidi"/>
                <w:b/>
                <w:bCs/>
                <w:lang w:val="en-GB"/>
              </w:rPr>
              <w:t>79.60</w:t>
            </w:r>
          </w:p>
        </w:tc>
        <w:tc>
          <w:tcPr>
            <w:tcW w:w="714" w:type="pct"/>
          </w:tcPr>
          <w:p w14:paraId="69EA1765" w14:textId="77777777" w:rsidR="008050FD" w:rsidRPr="002E2317" w:rsidRDefault="008050FD" w:rsidP="00EB6B49">
            <w:pPr>
              <w:jc w:val="both"/>
              <w:rPr>
                <w:rFonts w:asciiTheme="majorBidi" w:hAnsiTheme="majorBidi" w:cstheme="majorBidi"/>
                <w:b/>
                <w:bCs/>
                <w:lang w:val="en-GB"/>
              </w:rPr>
            </w:pPr>
            <w:r w:rsidRPr="002E2317">
              <w:rPr>
                <w:rFonts w:asciiTheme="majorBidi" w:hAnsiTheme="majorBidi" w:cstheme="majorBidi"/>
                <w:b/>
                <w:bCs/>
                <w:lang w:val="en-GB"/>
              </w:rPr>
              <w:t>223.00</w:t>
            </w:r>
          </w:p>
        </w:tc>
        <w:tc>
          <w:tcPr>
            <w:tcW w:w="714" w:type="pct"/>
          </w:tcPr>
          <w:p w14:paraId="549064F1" w14:textId="77777777" w:rsidR="008050FD" w:rsidRPr="002E2317" w:rsidRDefault="008050FD" w:rsidP="00EB6B49">
            <w:pPr>
              <w:jc w:val="both"/>
              <w:rPr>
                <w:rFonts w:asciiTheme="majorBidi" w:hAnsiTheme="majorBidi" w:cstheme="majorBidi"/>
                <w:b/>
                <w:bCs/>
                <w:lang w:val="en-GB"/>
              </w:rPr>
            </w:pPr>
            <w:r w:rsidRPr="002E2317">
              <w:rPr>
                <w:rFonts w:asciiTheme="majorBidi" w:hAnsiTheme="majorBidi" w:cstheme="majorBidi"/>
                <w:b/>
                <w:bCs/>
                <w:lang w:val="en-GB"/>
              </w:rPr>
              <w:t>53.53</w:t>
            </w:r>
          </w:p>
        </w:tc>
        <w:tc>
          <w:tcPr>
            <w:tcW w:w="833" w:type="pct"/>
          </w:tcPr>
          <w:p w14:paraId="427D56EE" w14:textId="77777777" w:rsidR="008050FD" w:rsidRPr="002E2317" w:rsidRDefault="008050FD" w:rsidP="00EB6B49">
            <w:pPr>
              <w:jc w:val="both"/>
              <w:rPr>
                <w:rFonts w:asciiTheme="majorBidi" w:hAnsiTheme="majorBidi" w:cstheme="majorBidi"/>
                <w:b/>
                <w:bCs/>
                <w:lang w:val="en-GB"/>
              </w:rPr>
            </w:pPr>
            <w:r w:rsidRPr="002E2317">
              <w:rPr>
                <w:rFonts w:asciiTheme="majorBidi" w:hAnsiTheme="majorBidi" w:cstheme="majorBidi"/>
                <w:b/>
                <w:bCs/>
                <w:lang w:val="en-GB"/>
              </w:rPr>
              <w:t>2.2</w:t>
            </w:r>
          </w:p>
        </w:tc>
        <w:tc>
          <w:tcPr>
            <w:tcW w:w="682" w:type="pct"/>
          </w:tcPr>
          <w:p w14:paraId="5D7CB915" w14:textId="77777777" w:rsidR="008050FD" w:rsidRPr="002E2317" w:rsidRDefault="008050FD" w:rsidP="00EB6B49">
            <w:pPr>
              <w:jc w:val="both"/>
              <w:rPr>
                <w:rFonts w:asciiTheme="majorBidi" w:hAnsiTheme="majorBidi" w:cstheme="majorBidi"/>
                <w:b/>
                <w:bCs/>
                <w:lang w:val="en-GB"/>
              </w:rPr>
            </w:pPr>
            <w:r w:rsidRPr="002E2317">
              <w:rPr>
                <w:rFonts w:asciiTheme="majorBidi" w:hAnsiTheme="majorBidi" w:cstheme="majorBidi"/>
                <w:b/>
                <w:bCs/>
                <w:lang w:val="en-GB"/>
              </w:rPr>
              <w:t>0.02*</w:t>
            </w:r>
          </w:p>
        </w:tc>
      </w:tr>
      <w:tr w:rsidR="008050FD" w:rsidRPr="002E2317" w14:paraId="64DAADCC" w14:textId="77777777" w:rsidTr="00EB6B49">
        <w:trPr>
          <w:trHeight w:val="314"/>
          <w:jc w:val="center"/>
        </w:trPr>
        <w:tc>
          <w:tcPr>
            <w:tcW w:w="737" w:type="pct"/>
            <w:shd w:val="clear" w:color="auto" w:fill="A8D08D" w:themeFill="accent6" w:themeFillTint="99"/>
          </w:tcPr>
          <w:p w14:paraId="54DA13C7" w14:textId="77777777" w:rsidR="008050FD" w:rsidRPr="002E2317" w:rsidRDefault="008050FD" w:rsidP="00EB6B49">
            <w:pPr>
              <w:jc w:val="both"/>
              <w:rPr>
                <w:rFonts w:asciiTheme="majorBidi" w:hAnsiTheme="majorBidi" w:cstheme="majorBidi"/>
                <w:b/>
                <w:bCs/>
                <w:lang w:val="en-GB"/>
              </w:rPr>
            </w:pPr>
            <w:r w:rsidRPr="002E2317">
              <w:rPr>
                <w:rFonts w:asciiTheme="majorBidi" w:hAnsiTheme="majorBidi" w:cstheme="majorBidi"/>
                <w:b/>
                <w:bCs/>
                <w:lang w:val="en-GB"/>
              </w:rPr>
              <w:t>3 months</w:t>
            </w:r>
          </w:p>
        </w:tc>
        <w:tc>
          <w:tcPr>
            <w:tcW w:w="605" w:type="pct"/>
          </w:tcPr>
          <w:p w14:paraId="4D35A62A" w14:textId="77777777" w:rsidR="008050FD" w:rsidRPr="002E2317" w:rsidRDefault="008050FD" w:rsidP="00EB6B49">
            <w:pPr>
              <w:jc w:val="both"/>
              <w:rPr>
                <w:rFonts w:asciiTheme="majorBidi" w:hAnsiTheme="majorBidi" w:cstheme="majorBidi"/>
                <w:b/>
                <w:bCs/>
                <w:lang w:val="en-GB"/>
              </w:rPr>
            </w:pPr>
            <w:r w:rsidRPr="002E2317">
              <w:rPr>
                <w:rFonts w:asciiTheme="majorBidi" w:hAnsiTheme="majorBidi" w:cstheme="majorBidi"/>
                <w:b/>
                <w:bCs/>
                <w:lang w:val="en-GB"/>
              </w:rPr>
              <w:t>575.40</w:t>
            </w:r>
          </w:p>
        </w:tc>
        <w:tc>
          <w:tcPr>
            <w:tcW w:w="715" w:type="pct"/>
          </w:tcPr>
          <w:p w14:paraId="1E34702D" w14:textId="77777777" w:rsidR="008050FD" w:rsidRPr="002E2317" w:rsidRDefault="008050FD" w:rsidP="00EB6B49">
            <w:pPr>
              <w:jc w:val="both"/>
              <w:rPr>
                <w:rFonts w:asciiTheme="majorBidi" w:hAnsiTheme="majorBidi" w:cstheme="majorBidi"/>
                <w:b/>
                <w:bCs/>
                <w:lang w:val="en-GB"/>
              </w:rPr>
            </w:pPr>
            <w:r w:rsidRPr="002E2317">
              <w:rPr>
                <w:rFonts w:asciiTheme="majorBidi" w:hAnsiTheme="majorBidi" w:cstheme="majorBidi"/>
                <w:b/>
                <w:bCs/>
                <w:lang w:val="en-GB"/>
              </w:rPr>
              <w:t>83.49</w:t>
            </w:r>
          </w:p>
        </w:tc>
        <w:tc>
          <w:tcPr>
            <w:tcW w:w="714" w:type="pct"/>
          </w:tcPr>
          <w:p w14:paraId="5CC03CCC" w14:textId="77777777" w:rsidR="008050FD" w:rsidRPr="002E2317" w:rsidRDefault="008050FD" w:rsidP="00EB6B49">
            <w:pPr>
              <w:jc w:val="both"/>
              <w:rPr>
                <w:rFonts w:asciiTheme="majorBidi" w:hAnsiTheme="majorBidi" w:cstheme="majorBidi"/>
                <w:b/>
                <w:bCs/>
                <w:lang w:val="en-GB"/>
              </w:rPr>
            </w:pPr>
            <w:r w:rsidRPr="002E2317">
              <w:rPr>
                <w:rFonts w:asciiTheme="majorBidi" w:hAnsiTheme="majorBidi" w:cstheme="majorBidi"/>
                <w:b/>
                <w:bCs/>
                <w:lang w:val="en-GB"/>
              </w:rPr>
              <w:t>408.80</w:t>
            </w:r>
          </w:p>
        </w:tc>
        <w:tc>
          <w:tcPr>
            <w:tcW w:w="714" w:type="pct"/>
          </w:tcPr>
          <w:p w14:paraId="55E93EC4" w14:textId="77777777" w:rsidR="008050FD" w:rsidRPr="002E2317" w:rsidRDefault="008050FD" w:rsidP="00EB6B49">
            <w:pPr>
              <w:jc w:val="both"/>
              <w:rPr>
                <w:rFonts w:asciiTheme="majorBidi" w:hAnsiTheme="majorBidi" w:cstheme="majorBidi"/>
                <w:b/>
                <w:bCs/>
                <w:lang w:val="en-GB"/>
              </w:rPr>
            </w:pPr>
            <w:r w:rsidRPr="002E2317">
              <w:rPr>
                <w:rFonts w:asciiTheme="majorBidi" w:hAnsiTheme="majorBidi" w:cstheme="majorBidi"/>
                <w:b/>
                <w:bCs/>
                <w:lang w:val="en-GB"/>
              </w:rPr>
              <w:t>76.59</w:t>
            </w:r>
          </w:p>
        </w:tc>
        <w:tc>
          <w:tcPr>
            <w:tcW w:w="833" w:type="pct"/>
          </w:tcPr>
          <w:p w14:paraId="7019CB2E" w14:textId="77777777" w:rsidR="008050FD" w:rsidRPr="002E2317" w:rsidRDefault="008050FD" w:rsidP="00EB6B49">
            <w:pPr>
              <w:jc w:val="both"/>
              <w:rPr>
                <w:rFonts w:asciiTheme="majorBidi" w:hAnsiTheme="majorBidi" w:cstheme="majorBidi"/>
                <w:b/>
                <w:bCs/>
                <w:lang w:val="en-GB"/>
              </w:rPr>
            </w:pPr>
            <w:r w:rsidRPr="002E2317">
              <w:rPr>
                <w:rFonts w:asciiTheme="majorBidi" w:hAnsiTheme="majorBidi" w:cstheme="majorBidi"/>
                <w:b/>
                <w:bCs/>
                <w:lang w:val="en-GB"/>
              </w:rPr>
              <w:t>6.6</w:t>
            </w:r>
          </w:p>
        </w:tc>
        <w:tc>
          <w:tcPr>
            <w:tcW w:w="682" w:type="pct"/>
          </w:tcPr>
          <w:p w14:paraId="289485B8" w14:textId="77777777" w:rsidR="008050FD" w:rsidRPr="002E2317" w:rsidRDefault="008050FD" w:rsidP="00EB6B49">
            <w:pPr>
              <w:jc w:val="both"/>
              <w:rPr>
                <w:rFonts w:asciiTheme="majorBidi" w:hAnsiTheme="majorBidi" w:cstheme="majorBidi"/>
                <w:b/>
                <w:bCs/>
                <w:lang w:val="en-GB"/>
              </w:rPr>
            </w:pPr>
            <w:r w:rsidRPr="002E2317">
              <w:rPr>
                <w:rFonts w:asciiTheme="majorBidi" w:hAnsiTheme="majorBidi" w:cstheme="majorBidi"/>
                <w:b/>
                <w:bCs/>
                <w:lang w:val="en-GB"/>
              </w:rPr>
              <w:t>&lt;0.001*</w:t>
            </w:r>
          </w:p>
        </w:tc>
      </w:tr>
      <w:tr w:rsidR="008050FD" w:rsidRPr="002E2317" w14:paraId="0E47D0AC" w14:textId="77777777" w:rsidTr="00EB6B49">
        <w:trPr>
          <w:trHeight w:val="251"/>
          <w:jc w:val="center"/>
        </w:trPr>
        <w:tc>
          <w:tcPr>
            <w:tcW w:w="737" w:type="pct"/>
            <w:tcBorders>
              <w:bottom w:val="double" w:sz="12" w:space="0" w:color="385623" w:themeColor="accent6" w:themeShade="80"/>
            </w:tcBorders>
            <w:shd w:val="clear" w:color="auto" w:fill="A8D08D" w:themeFill="accent6" w:themeFillTint="99"/>
          </w:tcPr>
          <w:p w14:paraId="344A4FAA" w14:textId="77777777" w:rsidR="008050FD" w:rsidRPr="002E2317" w:rsidRDefault="008050FD" w:rsidP="00EB6B49">
            <w:pPr>
              <w:jc w:val="both"/>
              <w:rPr>
                <w:rFonts w:asciiTheme="majorBidi" w:hAnsiTheme="majorBidi" w:cstheme="majorBidi"/>
                <w:b/>
                <w:bCs/>
                <w:lang w:val="en-GB"/>
              </w:rPr>
            </w:pPr>
            <w:r w:rsidRPr="002E2317">
              <w:rPr>
                <w:rFonts w:asciiTheme="majorBidi" w:hAnsiTheme="majorBidi" w:cstheme="majorBidi"/>
                <w:b/>
                <w:bCs/>
                <w:lang w:val="en-GB"/>
              </w:rPr>
              <w:t>6 Months</w:t>
            </w:r>
          </w:p>
        </w:tc>
        <w:tc>
          <w:tcPr>
            <w:tcW w:w="605" w:type="pct"/>
            <w:tcBorders>
              <w:bottom w:val="double" w:sz="12" w:space="0" w:color="385623" w:themeColor="accent6" w:themeShade="80"/>
            </w:tcBorders>
          </w:tcPr>
          <w:p w14:paraId="21DEFD75" w14:textId="77777777" w:rsidR="008050FD" w:rsidRPr="002E2317" w:rsidRDefault="008050FD" w:rsidP="00EB6B49">
            <w:pPr>
              <w:jc w:val="both"/>
              <w:rPr>
                <w:rFonts w:asciiTheme="majorBidi" w:hAnsiTheme="majorBidi" w:cstheme="majorBidi"/>
                <w:b/>
                <w:bCs/>
                <w:lang w:val="en-GB"/>
              </w:rPr>
            </w:pPr>
            <w:r w:rsidRPr="002E2317">
              <w:rPr>
                <w:rFonts w:asciiTheme="majorBidi" w:hAnsiTheme="majorBidi" w:cstheme="majorBidi"/>
                <w:b/>
                <w:bCs/>
                <w:lang w:val="en-GB"/>
              </w:rPr>
              <w:t>890.10</w:t>
            </w:r>
          </w:p>
        </w:tc>
        <w:tc>
          <w:tcPr>
            <w:tcW w:w="715" w:type="pct"/>
            <w:tcBorders>
              <w:bottom w:val="double" w:sz="12" w:space="0" w:color="385623" w:themeColor="accent6" w:themeShade="80"/>
            </w:tcBorders>
          </w:tcPr>
          <w:p w14:paraId="02AE3D09" w14:textId="77777777" w:rsidR="008050FD" w:rsidRPr="002E2317" w:rsidRDefault="008050FD" w:rsidP="00EB6B49">
            <w:pPr>
              <w:jc w:val="both"/>
              <w:rPr>
                <w:rFonts w:asciiTheme="majorBidi" w:hAnsiTheme="majorBidi" w:cstheme="majorBidi"/>
                <w:b/>
                <w:bCs/>
                <w:lang w:val="en-GB"/>
              </w:rPr>
            </w:pPr>
            <w:r w:rsidRPr="002E2317">
              <w:rPr>
                <w:rFonts w:asciiTheme="majorBidi" w:hAnsiTheme="majorBidi" w:cstheme="majorBidi"/>
                <w:b/>
                <w:bCs/>
                <w:lang w:val="en-GB"/>
              </w:rPr>
              <w:t>130.55</w:t>
            </w:r>
          </w:p>
        </w:tc>
        <w:tc>
          <w:tcPr>
            <w:tcW w:w="714" w:type="pct"/>
            <w:tcBorders>
              <w:bottom w:val="double" w:sz="12" w:space="0" w:color="385623" w:themeColor="accent6" w:themeShade="80"/>
            </w:tcBorders>
          </w:tcPr>
          <w:p w14:paraId="71683957" w14:textId="77777777" w:rsidR="008050FD" w:rsidRPr="002E2317" w:rsidRDefault="008050FD" w:rsidP="00EB6B49">
            <w:pPr>
              <w:jc w:val="both"/>
              <w:rPr>
                <w:rFonts w:asciiTheme="majorBidi" w:hAnsiTheme="majorBidi" w:cstheme="majorBidi"/>
                <w:b/>
                <w:bCs/>
                <w:lang w:val="en-GB"/>
              </w:rPr>
            </w:pPr>
            <w:r w:rsidRPr="002E2317">
              <w:rPr>
                <w:rFonts w:asciiTheme="majorBidi" w:hAnsiTheme="majorBidi" w:cstheme="majorBidi"/>
                <w:b/>
                <w:bCs/>
                <w:lang w:val="en-GB"/>
              </w:rPr>
              <w:t>635.80</w:t>
            </w:r>
          </w:p>
        </w:tc>
        <w:tc>
          <w:tcPr>
            <w:tcW w:w="714" w:type="pct"/>
            <w:tcBorders>
              <w:bottom w:val="double" w:sz="12" w:space="0" w:color="385623" w:themeColor="accent6" w:themeShade="80"/>
            </w:tcBorders>
          </w:tcPr>
          <w:p w14:paraId="466CABDA" w14:textId="77777777" w:rsidR="008050FD" w:rsidRPr="002E2317" w:rsidRDefault="008050FD" w:rsidP="00EB6B49">
            <w:pPr>
              <w:jc w:val="both"/>
              <w:rPr>
                <w:rFonts w:asciiTheme="majorBidi" w:hAnsiTheme="majorBidi" w:cstheme="majorBidi"/>
                <w:b/>
                <w:bCs/>
                <w:lang w:val="en-GB"/>
              </w:rPr>
            </w:pPr>
            <w:r w:rsidRPr="002E2317">
              <w:rPr>
                <w:rFonts w:asciiTheme="majorBidi" w:hAnsiTheme="majorBidi" w:cstheme="majorBidi"/>
                <w:b/>
                <w:bCs/>
                <w:lang w:val="en-GB"/>
              </w:rPr>
              <w:t>94.58</w:t>
            </w:r>
          </w:p>
        </w:tc>
        <w:tc>
          <w:tcPr>
            <w:tcW w:w="833" w:type="pct"/>
            <w:tcBorders>
              <w:bottom w:val="double" w:sz="12" w:space="0" w:color="385623" w:themeColor="accent6" w:themeShade="80"/>
            </w:tcBorders>
          </w:tcPr>
          <w:p w14:paraId="5209B4AB" w14:textId="77777777" w:rsidR="008050FD" w:rsidRPr="002E2317" w:rsidRDefault="008050FD" w:rsidP="00EB6B49">
            <w:pPr>
              <w:jc w:val="both"/>
              <w:rPr>
                <w:rFonts w:asciiTheme="majorBidi" w:hAnsiTheme="majorBidi" w:cstheme="majorBidi"/>
                <w:b/>
                <w:bCs/>
                <w:lang w:val="en-GB"/>
              </w:rPr>
            </w:pPr>
            <w:r w:rsidRPr="002E2317">
              <w:rPr>
                <w:rFonts w:asciiTheme="majorBidi" w:hAnsiTheme="majorBidi" w:cstheme="majorBidi"/>
                <w:b/>
                <w:bCs/>
                <w:lang w:val="en-GB"/>
              </w:rPr>
              <w:t>7.1</w:t>
            </w:r>
          </w:p>
        </w:tc>
        <w:tc>
          <w:tcPr>
            <w:tcW w:w="682" w:type="pct"/>
            <w:tcBorders>
              <w:bottom w:val="double" w:sz="12" w:space="0" w:color="385623" w:themeColor="accent6" w:themeShade="80"/>
            </w:tcBorders>
          </w:tcPr>
          <w:p w14:paraId="5964E23B" w14:textId="77777777" w:rsidR="008050FD" w:rsidRPr="002E2317" w:rsidRDefault="008050FD" w:rsidP="00EB6B49">
            <w:pPr>
              <w:jc w:val="both"/>
              <w:rPr>
                <w:rFonts w:asciiTheme="majorBidi" w:hAnsiTheme="majorBidi" w:cstheme="majorBidi"/>
                <w:b/>
                <w:bCs/>
                <w:lang w:val="en-GB"/>
              </w:rPr>
            </w:pPr>
            <w:r w:rsidRPr="002E2317">
              <w:rPr>
                <w:rFonts w:asciiTheme="majorBidi" w:hAnsiTheme="majorBidi" w:cstheme="majorBidi"/>
                <w:b/>
                <w:bCs/>
                <w:lang w:val="en-GB"/>
              </w:rPr>
              <w:t>&lt;0.001*</w:t>
            </w:r>
          </w:p>
        </w:tc>
      </w:tr>
    </w:tbl>
    <w:p w14:paraId="741D04CA" w14:textId="77777777" w:rsidR="008050FD" w:rsidRPr="000B16D9" w:rsidRDefault="008050FD" w:rsidP="008050FD">
      <w:pPr>
        <w:jc w:val="both"/>
        <w:rPr>
          <w:rFonts w:asciiTheme="majorBidi" w:hAnsiTheme="majorBidi" w:cstheme="majorBidi"/>
          <w:sz w:val="18"/>
          <w:szCs w:val="18"/>
        </w:rPr>
      </w:pPr>
      <w:r w:rsidRPr="000B16D9">
        <w:rPr>
          <w:rFonts w:asciiTheme="majorBidi" w:hAnsiTheme="majorBidi" w:cstheme="majorBidi"/>
          <w:i/>
          <w:iCs/>
          <w:sz w:val="18"/>
          <w:szCs w:val="18"/>
        </w:rPr>
        <w:t xml:space="preserve">Indicate significance at p ≤ 0.05  </w:t>
      </w:r>
    </w:p>
    <w:p w14:paraId="184D9CF7" w14:textId="77777777" w:rsidR="008050FD" w:rsidRPr="002E2317" w:rsidRDefault="008050FD" w:rsidP="008050FD">
      <w:pPr>
        <w:jc w:val="both"/>
        <w:rPr>
          <w:rFonts w:asciiTheme="majorBidi" w:hAnsiTheme="majorBidi" w:cstheme="majorBidi"/>
        </w:rPr>
      </w:pPr>
    </w:p>
    <w:p w14:paraId="748B72A3" w14:textId="58A85114" w:rsidR="008050FD" w:rsidRPr="00BF3C0C" w:rsidRDefault="008050FD" w:rsidP="008050FD">
      <w:pPr>
        <w:jc w:val="both"/>
        <w:rPr>
          <w:rFonts w:asciiTheme="majorBidi" w:hAnsiTheme="majorBidi" w:cstheme="majorBidi"/>
          <w:sz w:val="28"/>
          <w:szCs w:val="28"/>
        </w:rPr>
      </w:pPr>
      <w:r w:rsidRPr="00BF3C0C">
        <w:rPr>
          <w:rFonts w:asciiTheme="majorBidi" w:hAnsiTheme="majorBidi" w:cstheme="majorBidi"/>
          <w:sz w:val="28"/>
          <w:szCs w:val="28"/>
        </w:rPr>
        <w:lastRenderedPageBreak/>
        <w:t>Results showed observable significant decrease in NRS pain scores during Day 3 and 1 week compared to Day 1 NRS scores in each group, while There was no statistically significant difference in pain level between both groups in the NRS scores (fig</w:t>
      </w:r>
      <w:r w:rsidR="008549F3">
        <w:rPr>
          <w:rFonts w:asciiTheme="majorBidi" w:hAnsiTheme="majorBidi" w:cstheme="majorBidi"/>
          <w:sz w:val="28"/>
          <w:szCs w:val="28"/>
        </w:rPr>
        <w:t>.</w:t>
      </w:r>
      <w:r w:rsidRPr="00BF3C0C">
        <w:rPr>
          <w:rFonts w:asciiTheme="majorBidi" w:hAnsiTheme="majorBidi" w:cstheme="majorBidi"/>
          <w:sz w:val="28"/>
          <w:szCs w:val="28"/>
        </w:rPr>
        <w:t xml:space="preserve"> 4) at the different observation times.</w:t>
      </w:r>
      <w:r w:rsidRPr="00BF3C0C">
        <w:rPr>
          <w:rFonts w:asciiTheme="majorBidi" w:eastAsia="Times New Roman" w:hAnsiTheme="majorBidi" w:cstheme="majorBidi"/>
          <w:sz w:val="28"/>
          <w:szCs w:val="28"/>
        </w:rPr>
        <w:t xml:space="preserve"> For mouth opening in both groups, </w:t>
      </w:r>
      <w:r w:rsidRPr="00BF3C0C">
        <w:rPr>
          <w:rFonts w:asciiTheme="majorBidi" w:hAnsiTheme="majorBidi" w:cstheme="majorBidi"/>
          <w:sz w:val="28"/>
          <w:szCs w:val="28"/>
        </w:rPr>
        <w:t>there was improving overall follow up periods (3</w:t>
      </w:r>
      <w:r w:rsidRPr="00BF3C0C">
        <w:rPr>
          <w:rFonts w:asciiTheme="majorBidi" w:hAnsiTheme="majorBidi" w:cstheme="majorBidi"/>
          <w:sz w:val="28"/>
          <w:szCs w:val="28"/>
          <w:vertAlign w:val="superscript"/>
        </w:rPr>
        <w:t>rd</w:t>
      </w:r>
      <w:r w:rsidRPr="00BF3C0C">
        <w:rPr>
          <w:rFonts w:asciiTheme="majorBidi" w:hAnsiTheme="majorBidi" w:cstheme="majorBidi"/>
          <w:sz w:val="28"/>
          <w:szCs w:val="28"/>
        </w:rPr>
        <w:t xml:space="preserve"> day ,1 week, first month and 6 months post operatively) and it was statistically significant for all. while not significant between both groups at each follow up periods (fig</w:t>
      </w:r>
      <w:r w:rsidR="008549F3">
        <w:rPr>
          <w:rFonts w:asciiTheme="majorBidi" w:hAnsiTheme="majorBidi" w:cstheme="majorBidi"/>
          <w:sz w:val="28"/>
          <w:szCs w:val="28"/>
        </w:rPr>
        <w:t xml:space="preserve">. </w:t>
      </w:r>
      <w:r w:rsidRPr="00BF3C0C">
        <w:rPr>
          <w:rFonts w:asciiTheme="majorBidi" w:hAnsiTheme="majorBidi" w:cstheme="majorBidi"/>
          <w:sz w:val="28"/>
          <w:szCs w:val="28"/>
        </w:rPr>
        <w:t>5).</w:t>
      </w:r>
      <w:r w:rsidRPr="00BF3C0C">
        <w:rPr>
          <w:rFonts w:asciiTheme="majorBidi" w:eastAsia="Times New Roman" w:hAnsiTheme="majorBidi" w:cstheme="majorBidi"/>
          <w:sz w:val="28"/>
          <w:szCs w:val="28"/>
        </w:rPr>
        <w:t xml:space="preserve"> </w:t>
      </w:r>
      <w:r w:rsidRPr="00BF3C0C">
        <w:rPr>
          <w:rFonts w:asciiTheme="majorBidi" w:hAnsiTheme="majorBidi" w:cstheme="majorBidi"/>
          <w:sz w:val="28"/>
          <w:szCs w:val="28"/>
        </w:rPr>
        <w:t>In both groups, edema was limited to the area of operation and resolved completely in all cases by the end of 2-3</w:t>
      </w:r>
      <w:r w:rsidRPr="00BF3C0C">
        <w:rPr>
          <w:rFonts w:asciiTheme="majorBidi" w:hAnsiTheme="majorBidi" w:cstheme="majorBidi"/>
          <w:sz w:val="28"/>
          <w:szCs w:val="28"/>
          <w:vertAlign w:val="superscript"/>
        </w:rPr>
        <w:t>rd</w:t>
      </w:r>
      <w:r w:rsidRPr="00BF3C0C">
        <w:rPr>
          <w:rFonts w:asciiTheme="majorBidi" w:hAnsiTheme="majorBidi" w:cstheme="majorBidi"/>
          <w:sz w:val="28"/>
          <w:szCs w:val="28"/>
        </w:rPr>
        <w:t xml:space="preserve"> week postoperatively and</w:t>
      </w:r>
      <w:r w:rsidRPr="00BF3C0C">
        <w:rPr>
          <w:rFonts w:asciiTheme="majorBidi" w:eastAsia="Times New Roman" w:hAnsiTheme="majorBidi" w:cstheme="majorBidi"/>
          <w:sz w:val="28"/>
          <w:szCs w:val="28"/>
        </w:rPr>
        <w:t xml:space="preserve"> </w:t>
      </w:r>
      <w:r w:rsidRPr="00BF3C0C">
        <w:rPr>
          <w:rFonts w:asciiTheme="majorBidi" w:hAnsiTheme="majorBidi" w:cstheme="majorBidi"/>
          <w:sz w:val="28"/>
          <w:szCs w:val="28"/>
        </w:rPr>
        <w:t>no infection nor wound dehiscence were detected.</w:t>
      </w:r>
    </w:p>
    <w:p w14:paraId="24B9DF49" w14:textId="77777777" w:rsidR="008050FD" w:rsidRPr="002E2317" w:rsidRDefault="008050FD" w:rsidP="008050FD">
      <w:pPr>
        <w:jc w:val="both"/>
        <w:rPr>
          <w:rFonts w:asciiTheme="majorBidi" w:hAnsiTheme="majorBidi" w:cstheme="majorBidi"/>
        </w:rPr>
      </w:pPr>
    </w:p>
    <w:p w14:paraId="09B7C7F8" w14:textId="77777777" w:rsidR="008050FD" w:rsidRDefault="008050FD" w:rsidP="008050FD">
      <w:pPr>
        <w:jc w:val="center"/>
        <w:rPr>
          <w:rFonts w:asciiTheme="majorBidi" w:hAnsiTheme="majorBidi" w:cstheme="majorBidi"/>
        </w:rPr>
      </w:pPr>
    </w:p>
    <w:p w14:paraId="6A7F1D67" w14:textId="77777777" w:rsidR="008050FD" w:rsidRPr="002E2317" w:rsidRDefault="008050FD" w:rsidP="008050FD">
      <w:pPr>
        <w:jc w:val="center"/>
        <w:rPr>
          <w:rFonts w:asciiTheme="majorBidi" w:hAnsiTheme="majorBidi" w:cstheme="majorBidi"/>
        </w:rPr>
      </w:pPr>
      <w:r>
        <w:rPr>
          <w:rFonts w:asciiTheme="majorBidi" w:hAnsiTheme="majorBidi" w:cstheme="majorBidi"/>
          <w:noProof/>
        </w:rPr>
        <w:drawing>
          <wp:inline distT="0" distB="0" distL="0" distR="0" wp14:anchorId="28F44FA3" wp14:editId="3F9FEBAB">
            <wp:extent cx="4591050" cy="2133600"/>
            <wp:effectExtent l="0" t="0" r="0"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1050" cy="2133600"/>
                    </a:xfrm>
                    <a:prstGeom prst="rect">
                      <a:avLst/>
                    </a:prstGeom>
                    <a:noFill/>
                  </pic:spPr>
                </pic:pic>
              </a:graphicData>
            </a:graphic>
          </wp:inline>
        </w:drawing>
      </w:r>
    </w:p>
    <w:p w14:paraId="2997EDFB" w14:textId="77777777" w:rsidR="008050FD" w:rsidRPr="00BF3C0C" w:rsidRDefault="008050FD" w:rsidP="008050FD">
      <w:pPr>
        <w:jc w:val="center"/>
        <w:rPr>
          <w:rFonts w:asciiTheme="majorBidi" w:hAnsiTheme="majorBidi" w:cstheme="majorBidi"/>
          <w:i/>
          <w:iCs/>
          <w:lang w:val="en-GB"/>
        </w:rPr>
      </w:pPr>
      <w:r w:rsidRPr="00BF3C0C">
        <w:rPr>
          <w:rFonts w:asciiTheme="majorBidi" w:hAnsiTheme="majorBidi" w:cstheme="majorBidi"/>
          <w:b/>
          <w:bCs/>
          <w:i/>
          <w:iCs/>
          <w:lang w:val="en-GB"/>
        </w:rPr>
        <w:t>Fig</w:t>
      </w:r>
      <w:r>
        <w:rPr>
          <w:rFonts w:asciiTheme="majorBidi" w:hAnsiTheme="majorBidi" w:cstheme="majorBidi"/>
          <w:b/>
          <w:bCs/>
          <w:i/>
          <w:iCs/>
          <w:lang w:val="en-GB"/>
        </w:rPr>
        <w:t>.</w:t>
      </w:r>
      <w:r w:rsidRPr="00BF3C0C">
        <w:rPr>
          <w:rFonts w:asciiTheme="majorBidi" w:hAnsiTheme="majorBidi" w:cstheme="majorBidi"/>
          <w:b/>
          <w:bCs/>
          <w:i/>
          <w:iCs/>
          <w:lang w:val="en-GB"/>
        </w:rPr>
        <w:t xml:space="preserve"> (4): </w:t>
      </w:r>
      <w:r w:rsidRPr="00BF3C0C">
        <w:rPr>
          <w:rFonts w:asciiTheme="majorBidi" w:hAnsiTheme="majorBidi" w:cstheme="majorBidi"/>
          <w:i/>
          <w:iCs/>
          <w:lang w:val="en-GB"/>
        </w:rPr>
        <w:t>Group A and Group B regarding Post-operative NRS pain score assessment.</w:t>
      </w:r>
    </w:p>
    <w:p w14:paraId="44918FCC" w14:textId="77777777" w:rsidR="008050FD" w:rsidRDefault="008050FD" w:rsidP="008050FD">
      <w:pPr>
        <w:jc w:val="both"/>
        <w:rPr>
          <w:rFonts w:asciiTheme="majorBidi" w:hAnsiTheme="majorBidi" w:cstheme="majorBidi"/>
          <w:lang w:val="en-GB"/>
        </w:rPr>
      </w:pPr>
    </w:p>
    <w:p w14:paraId="1F46683E" w14:textId="77777777" w:rsidR="008050FD" w:rsidRPr="002E2317" w:rsidRDefault="008050FD" w:rsidP="008050FD">
      <w:pPr>
        <w:jc w:val="both"/>
        <w:rPr>
          <w:rFonts w:asciiTheme="majorBidi" w:hAnsiTheme="majorBidi" w:cstheme="majorBidi"/>
          <w:lang w:val="en-GB"/>
        </w:rPr>
      </w:pPr>
    </w:p>
    <w:p w14:paraId="6B19D1E9" w14:textId="77777777" w:rsidR="008050FD" w:rsidRPr="002E2317" w:rsidRDefault="008050FD" w:rsidP="008050FD">
      <w:pPr>
        <w:jc w:val="center"/>
        <w:rPr>
          <w:rFonts w:asciiTheme="majorBidi" w:hAnsiTheme="majorBidi" w:cstheme="majorBidi"/>
        </w:rPr>
      </w:pPr>
      <w:r w:rsidRPr="002E2317">
        <w:rPr>
          <w:rFonts w:asciiTheme="majorBidi" w:hAnsiTheme="majorBidi" w:cstheme="majorBidi"/>
          <w:noProof/>
        </w:rPr>
        <w:drawing>
          <wp:inline distT="0" distB="0" distL="0" distR="0" wp14:anchorId="7520D596" wp14:editId="07AECCDD">
            <wp:extent cx="4572000" cy="2324100"/>
            <wp:effectExtent l="0" t="0" r="0" b="0"/>
            <wp:docPr id="10"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896CB1C" w14:textId="77777777" w:rsidR="008050FD" w:rsidRDefault="008050FD" w:rsidP="008050FD">
      <w:pPr>
        <w:jc w:val="center"/>
        <w:rPr>
          <w:rFonts w:asciiTheme="majorBidi" w:hAnsiTheme="majorBidi" w:cstheme="majorBidi"/>
          <w:b/>
          <w:bCs/>
          <w:i/>
          <w:iCs/>
          <w:lang w:val="en-GB"/>
        </w:rPr>
      </w:pPr>
    </w:p>
    <w:p w14:paraId="2BFAC791" w14:textId="77777777" w:rsidR="008050FD" w:rsidRPr="00BF3C0C" w:rsidRDefault="008050FD" w:rsidP="008050FD">
      <w:pPr>
        <w:jc w:val="center"/>
        <w:rPr>
          <w:rFonts w:asciiTheme="majorBidi" w:hAnsiTheme="majorBidi" w:cstheme="majorBidi"/>
          <w:i/>
          <w:iCs/>
          <w:lang w:val="en-GB"/>
        </w:rPr>
      </w:pPr>
      <w:r w:rsidRPr="00BF3C0C">
        <w:rPr>
          <w:rFonts w:asciiTheme="majorBidi" w:hAnsiTheme="majorBidi" w:cstheme="majorBidi"/>
          <w:b/>
          <w:bCs/>
          <w:i/>
          <w:iCs/>
          <w:lang w:val="en-GB"/>
        </w:rPr>
        <w:t>Fig</w:t>
      </w:r>
      <w:r>
        <w:rPr>
          <w:rFonts w:asciiTheme="majorBidi" w:hAnsiTheme="majorBidi" w:cstheme="majorBidi"/>
          <w:b/>
          <w:bCs/>
          <w:i/>
          <w:iCs/>
          <w:lang w:val="en-GB"/>
        </w:rPr>
        <w:t>.</w:t>
      </w:r>
      <w:r w:rsidRPr="00BF3C0C">
        <w:rPr>
          <w:rFonts w:asciiTheme="majorBidi" w:hAnsiTheme="majorBidi" w:cstheme="majorBidi"/>
          <w:b/>
          <w:bCs/>
          <w:i/>
          <w:iCs/>
          <w:lang w:val="en-GB"/>
        </w:rPr>
        <w:t xml:space="preserve"> (5):</w:t>
      </w:r>
      <w:r w:rsidRPr="00BF3C0C">
        <w:rPr>
          <w:rFonts w:asciiTheme="majorBidi" w:hAnsiTheme="majorBidi" w:cstheme="majorBidi"/>
          <w:i/>
          <w:iCs/>
          <w:lang w:val="en-GB"/>
        </w:rPr>
        <w:t xml:space="preserve"> Group A and Group B regarding Post-operative maximum mouth opening.</w:t>
      </w:r>
    </w:p>
    <w:p w14:paraId="4EC6C9B6" w14:textId="77777777" w:rsidR="008050FD" w:rsidRDefault="008050FD" w:rsidP="008050FD">
      <w:pPr>
        <w:spacing w:after="90"/>
        <w:rPr>
          <w:rFonts w:asciiTheme="majorBidi" w:hAnsiTheme="majorBidi" w:cstheme="majorBidi"/>
          <w:b/>
          <w:bCs/>
          <w:sz w:val="32"/>
          <w:szCs w:val="32"/>
        </w:rPr>
      </w:pPr>
    </w:p>
    <w:p w14:paraId="3B352242" w14:textId="77777777" w:rsidR="008050FD" w:rsidRPr="000B16D9" w:rsidRDefault="008050FD" w:rsidP="008050FD">
      <w:pPr>
        <w:spacing w:after="90"/>
        <w:rPr>
          <w:rFonts w:asciiTheme="majorBidi" w:hAnsiTheme="majorBidi" w:cstheme="majorBidi"/>
          <w:sz w:val="32"/>
          <w:szCs w:val="32"/>
        </w:rPr>
      </w:pPr>
      <w:r w:rsidRPr="000B16D9">
        <w:rPr>
          <w:rFonts w:asciiTheme="majorBidi" w:hAnsiTheme="majorBidi" w:cstheme="majorBidi"/>
          <w:b/>
          <w:bCs/>
          <w:sz w:val="32"/>
          <w:szCs w:val="32"/>
        </w:rPr>
        <w:t>Discussion</w:t>
      </w:r>
    </w:p>
    <w:p w14:paraId="00702156" w14:textId="437C03A9" w:rsidR="008050FD" w:rsidRPr="00BF3C0C" w:rsidRDefault="008050FD" w:rsidP="008050FD">
      <w:pPr>
        <w:jc w:val="both"/>
        <w:rPr>
          <w:rFonts w:asciiTheme="majorBidi" w:hAnsiTheme="majorBidi" w:cstheme="majorBidi"/>
          <w:sz w:val="28"/>
          <w:szCs w:val="28"/>
        </w:rPr>
      </w:pPr>
      <w:bookmarkStart w:id="4" w:name="_Hlk106168280"/>
      <w:r w:rsidRPr="00BF3C0C">
        <w:rPr>
          <w:rFonts w:asciiTheme="majorBidi" w:hAnsiTheme="majorBidi" w:cstheme="majorBidi"/>
          <w:sz w:val="28"/>
          <w:szCs w:val="28"/>
        </w:rPr>
        <w:t xml:space="preserve">In this study, 87.5% of the patients were males while 12.5% were females which indicated that the male ratio was higher than female. This result was supported </w:t>
      </w:r>
      <w:r w:rsidRPr="00BF3C0C">
        <w:rPr>
          <w:rFonts w:asciiTheme="majorBidi" w:hAnsiTheme="majorBidi" w:cstheme="majorBidi"/>
          <w:sz w:val="28"/>
          <w:szCs w:val="28"/>
        </w:rPr>
        <w:lastRenderedPageBreak/>
        <w:t xml:space="preserve">by </w:t>
      </w:r>
      <w:r w:rsidRPr="00BF3C0C">
        <w:rPr>
          <w:rFonts w:asciiTheme="majorBidi" w:hAnsiTheme="majorBidi" w:cstheme="majorBidi"/>
          <w:sz w:val="28"/>
          <w:szCs w:val="28"/>
        </w:rPr>
        <w:fldChar w:fldCharType="begin" w:fldLock="1"/>
      </w:r>
      <w:r w:rsidR="00C576C0">
        <w:rPr>
          <w:rFonts w:asciiTheme="majorBidi" w:hAnsiTheme="majorBidi" w:cstheme="majorBidi"/>
          <w:sz w:val="28"/>
          <w:szCs w:val="28"/>
        </w:rPr>
        <w:instrText>ADDIN CSL_CITATION {"citationItems":[{"id":"ITEM-1","itemData":{"ISSN":"1195-2199","PMID":"19554163","abstract":"BACKGROUND Mandibular fractures can lead to significant functional and aesthetic sequelae if treated improperly. They may act as an indicator of concomitant trauma and are very demanding on the public health care system. Thus, knowledge of mandibular fracture epidemiology is critical to effective prevention, as well the establishment of accurate trauma evaluation protocols. OBJECTIVES To identify the epidemiology of mandibular fractures treated at a level 1 Canadian trauma centre, clarify the pathogenesis of these epidemiological patterns and suggest potential targets for preventive efforts. METHODS A retrospective review of all mandibular fracture patients presenting to the Montreal General Hospital between 1998 and 2003 was performed. Medical records and digitized radiographic imaging were used to collect patient demographics and injury data. RESULTS The chart review identified 181 patients with 307 mandibular fractures. Fifty-two per cent of the fractures occurred in individuals 21 to 40 years of age, 78% of patients were male, and there was wide ethnic diversity. Sixty percent of patients had multiple mandibular fractures; 29% were symphyseal/parasymphyseal fractures, 25% were condylar fractures and 23% were angle fractures. Assault was the most common mechanism of injury, with 29% of fractures involving alcohol or illegal drug use. Thirty percent of patients had an associated facial fracture, and more than one-third had another major injury. CONCLUSIONS The present epidemiological review reveals several potential prevention targets as well as significant trends. Further research into the impact of these preventive measures could more objectively identify their impact on mandibular trauma.","author":[{"dropping-particle":"","family":"Czerwinski","given":"M","non-dropping-particle":"","parse-names":false,"suffix":""},{"dropping-particle":"","family":"Parker","given":"W L","non-dropping-particle":"","parse-names":false,"suffix":""},{"dropping-particle":"","family":"Chehade","given":"A","non-dropping-particle":"","parse-names":false,"suffix":""},{"dropping-particle":"","family":"Williams","given":"H B","non-dropping-particle":"","parse-names":false,"suffix":""}],"container-title":"The Canadian journal of plastic surgery = Journal canadien de chirurgie plastique","id":"ITEM-1","issue":"1","issued":{"date-parts":[["2008"]]},"page":"36-40","publisher":"Pulsus Group","title":"Identification of mandibular fracture epidemiology in Canada: Enhancing injury prevention and patient evaluation.","type":"article-journal","volume":"16"},"uris":["http://www.mendeley.com/documents/?uuid=08a981ed-fdf4-44ed-bff2-c2e6a8247e29"]}],"mendeley":{"formattedCitation":"&lt;sup&gt;&lt;b&gt;(11)&lt;/b&gt;&lt;/sup&gt;","plainTextFormattedCitation":"(11)","previouslyFormattedCitation":"&lt;sup&gt;&lt;b&gt;(10)&lt;/b&gt;&lt;/sup&gt;"},"properties":{"noteIndex":0},"schema":"https://github.com/citation-style-language/schema/raw/master/csl-citation.json"}</w:instrText>
      </w:r>
      <w:r w:rsidRPr="00BF3C0C">
        <w:rPr>
          <w:rFonts w:asciiTheme="majorBidi" w:hAnsiTheme="majorBidi" w:cstheme="majorBidi"/>
          <w:sz w:val="28"/>
          <w:szCs w:val="28"/>
        </w:rPr>
        <w:fldChar w:fldCharType="separate"/>
      </w:r>
      <w:r w:rsidR="00C576C0" w:rsidRPr="00C576C0">
        <w:rPr>
          <w:rFonts w:asciiTheme="majorBidi" w:hAnsiTheme="majorBidi" w:cstheme="majorBidi"/>
          <w:b/>
          <w:noProof/>
          <w:sz w:val="28"/>
          <w:szCs w:val="28"/>
          <w:vertAlign w:val="superscript"/>
        </w:rPr>
        <w:t>(11)</w:t>
      </w:r>
      <w:r w:rsidRPr="00BF3C0C">
        <w:rPr>
          <w:rFonts w:asciiTheme="majorBidi" w:hAnsiTheme="majorBidi" w:cstheme="majorBidi"/>
          <w:sz w:val="28"/>
          <w:szCs w:val="28"/>
        </w:rPr>
        <w:fldChar w:fldCharType="end"/>
      </w:r>
      <w:r w:rsidRPr="00BF3C0C">
        <w:rPr>
          <w:rFonts w:asciiTheme="majorBidi" w:hAnsiTheme="majorBidi" w:cstheme="majorBidi"/>
          <w:sz w:val="28"/>
          <w:szCs w:val="28"/>
        </w:rPr>
        <w:t xml:space="preserve"> , they reported that 78% of patients were male and 22% were female. Also </w:t>
      </w:r>
      <w:r w:rsidRPr="00BF3C0C">
        <w:rPr>
          <w:rFonts w:asciiTheme="majorBidi" w:hAnsiTheme="majorBidi" w:cstheme="majorBidi"/>
          <w:sz w:val="28"/>
          <w:szCs w:val="28"/>
        </w:rPr>
        <w:fldChar w:fldCharType="begin" w:fldLock="1"/>
      </w:r>
      <w:r w:rsidR="00C576C0">
        <w:rPr>
          <w:rFonts w:asciiTheme="majorBidi" w:hAnsiTheme="majorBidi" w:cstheme="majorBidi"/>
          <w:sz w:val="28"/>
          <w:szCs w:val="28"/>
        </w:rPr>
        <w:instrText>ADDIN CSL_CITATION {"citationItems":[{"id":"ITEM-1","itemData":{"DOI":"10.1186/s41935-020-0178-7","ISSN":"2090-5939","author":[{"dropping-particle":"","family":"Shehaby","given":"Doaa M.","non-dropping-particle":"El","parse-names":false,"suffix":""},{"dropping-particle":"","family":"Farahat","given":"Alsayed Magdi Alsayed","non-dropping-particle":"","parse-names":false,"suffix":""},{"dropping-particle":"","family":"Shahine","given":"Mohammed S.","non-dropping-particle":"","parse-names":false,"suffix":""},{"dropping-particle":"","family":"Mohammed","given":"Heba M.","non-dropping-particle":"","parse-names":false,"suffix":""}],"container-title":"Egyptian Journal of Forensic Sciences","id":"ITEM-1","issue":"1","issued":{"date-parts":[["2020","12","5"]]},"page":"11","title":"Medico-legal evaluation and trend of the different patterns of maxillofacial fractures concomitant with closed head injury in Upper Egypt: retrospective study","type":"article-journal","volume":"10"},"uris":["http://www.mendeley.com/documents/?uuid=204977d0-0187-48e4-9b24-f3e6ebe55d34"]}],"mendeley":{"formattedCitation":"&lt;sup&gt;&lt;b&gt;(12)&lt;/b&gt;&lt;/sup&gt;","plainTextFormattedCitation":"(12)","previouslyFormattedCitation":"&lt;sup&gt;&lt;b&gt;(11)&lt;/b&gt;&lt;/sup&gt;"},"properties":{"noteIndex":0},"schema":"https://github.com/citation-style-language/schema/raw/master/csl-citation.json"}</w:instrText>
      </w:r>
      <w:r w:rsidRPr="00BF3C0C">
        <w:rPr>
          <w:rFonts w:asciiTheme="majorBidi" w:hAnsiTheme="majorBidi" w:cstheme="majorBidi"/>
          <w:sz w:val="28"/>
          <w:szCs w:val="28"/>
        </w:rPr>
        <w:fldChar w:fldCharType="separate"/>
      </w:r>
      <w:r w:rsidR="00C576C0" w:rsidRPr="00C576C0">
        <w:rPr>
          <w:rFonts w:asciiTheme="majorBidi" w:hAnsiTheme="majorBidi" w:cstheme="majorBidi"/>
          <w:b/>
          <w:noProof/>
          <w:sz w:val="28"/>
          <w:szCs w:val="28"/>
          <w:vertAlign w:val="superscript"/>
        </w:rPr>
        <w:t>(12)</w:t>
      </w:r>
      <w:r w:rsidRPr="00BF3C0C">
        <w:rPr>
          <w:rFonts w:asciiTheme="majorBidi" w:hAnsiTheme="majorBidi" w:cstheme="majorBidi"/>
          <w:sz w:val="28"/>
          <w:szCs w:val="28"/>
        </w:rPr>
        <w:fldChar w:fldCharType="end"/>
      </w:r>
      <w:r w:rsidRPr="00BF3C0C">
        <w:rPr>
          <w:rFonts w:asciiTheme="majorBidi" w:hAnsiTheme="majorBidi" w:cstheme="majorBidi"/>
          <w:sz w:val="28"/>
          <w:szCs w:val="28"/>
        </w:rPr>
        <w:t xml:space="preserve"> reported that males represent 88% of cases.. Road traffic accidents were found to be the most frequent cause of fractures accounting for 62.5% of the cases, followed by falls 20.0% then violent assaults 17.5%, which was in agreement with</w:t>
      </w:r>
      <w:r w:rsidR="000D4A49">
        <w:rPr>
          <w:rFonts w:asciiTheme="majorBidi" w:hAnsiTheme="majorBidi" w:cstheme="majorBidi"/>
          <w:sz w:val="28"/>
          <w:szCs w:val="28"/>
        </w:rPr>
        <w:t xml:space="preserve"> </w:t>
      </w:r>
      <w:r w:rsidRPr="00BF3C0C">
        <w:rPr>
          <w:rFonts w:asciiTheme="majorBidi" w:hAnsiTheme="majorBidi" w:cstheme="majorBidi"/>
          <w:sz w:val="28"/>
          <w:szCs w:val="28"/>
        </w:rPr>
        <w:fldChar w:fldCharType="begin" w:fldLock="1"/>
      </w:r>
      <w:r w:rsidR="00C576C0">
        <w:rPr>
          <w:rFonts w:asciiTheme="majorBidi" w:hAnsiTheme="majorBidi" w:cstheme="majorBidi"/>
          <w:sz w:val="28"/>
          <w:szCs w:val="28"/>
        </w:rPr>
        <w:instrText>ADDIN CSL_CITATION {"citationItems":[{"id":"ITEM-1","itemData":{"DOI":"10.1186/s41935-020-0178-7","ISSN":"2090-5939","author":[{"dropping-particle":"","family":"Shehaby","given":"Doaa M.","non-dropping-particle":"El","parse-names":false,"suffix":""},{"dropping-particle":"","family":"Farahat","given":"Alsayed Magdi Alsayed","non-dropping-particle":"","parse-names":false,"suffix":""},{"dropping-particle":"","family":"Shahine","given":"Mohammed S.","non-dropping-particle":"","parse-names":false,"suffix":""},{"dropping-particle":"","family":"Mohammed","given":"Heba M.","non-dropping-particle":"","parse-names":false,"suffix":""}],"container-title":"Egyptian Journal of Forensic Sciences","id":"ITEM-1","issue":"1","issued":{"date-parts":[["2020","12","5"]]},"page":"11","title":"Medico-legal evaluation and trend of the different patterns of maxillofacial fractures concomitant with closed head injury in Upper Egypt: retrospective study","type":"article-journal","volume":"10"},"uris":["http://www.mendeley.com/documents/?uuid=204977d0-0187-48e4-9b24-f3e6ebe55d34"]}],"mendeley":{"formattedCitation":"&lt;sup&gt;&lt;b&gt;(12)&lt;/b&gt;&lt;/sup&gt;","plainTextFormattedCitation":"(12)","previouslyFormattedCitation":"&lt;sup&gt;&lt;b&gt;(11)&lt;/b&gt;&lt;/sup&gt;"},"properties":{"noteIndex":0},"schema":"https://github.com/citation-style-language/schema/raw/master/csl-citation.json"}</w:instrText>
      </w:r>
      <w:r w:rsidRPr="00BF3C0C">
        <w:rPr>
          <w:rFonts w:asciiTheme="majorBidi" w:hAnsiTheme="majorBidi" w:cstheme="majorBidi"/>
          <w:sz w:val="28"/>
          <w:szCs w:val="28"/>
        </w:rPr>
        <w:fldChar w:fldCharType="separate"/>
      </w:r>
      <w:r w:rsidR="00C576C0" w:rsidRPr="00C576C0">
        <w:rPr>
          <w:rFonts w:asciiTheme="majorBidi" w:hAnsiTheme="majorBidi" w:cstheme="majorBidi"/>
          <w:b/>
          <w:noProof/>
          <w:sz w:val="28"/>
          <w:szCs w:val="28"/>
          <w:vertAlign w:val="superscript"/>
        </w:rPr>
        <w:t>(12)</w:t>
      </w:r>
      <w:r w:rsidRPr="00BF3C0C">
        <w:rPr>
          <w:rFonts w:asciiTheme="majorBidi" w:hAnsiTheme="majorBidi" w:cstheme="majorBidi"/>
          <w:sz w:val="28"/>
          <w:szCs w:val="28"/>
        </w:rPr>
        <w:fldChar w:fldCharType="end"/>
      </w:r>
      <w:r w:rsidRPr="00BF3C0C">
        <w:rPr>
          <w:rFonts w:asciiTheme="majorBidi" w:hAnsiTheme="majorBidi" w:cstheme="majorBidi"/>
          <w:sz w:val="28"/>
          <w:szCs w:val="28"/>
        </w:rPr>
        <w:t xml:space="preserve"> </w:t>
      </w:r>
      <w:r w:rsidRPr="00BF3C0C">
        <w:rPr>
          <w:rFonts w:asciiTheme="majorBidi" w:hAnsiTheme="majorBidi" w:cstheme="majorBidi"/>
          <w:sz w:val="28"/>
          <w:szCs w:val="28"/>
        </w:rPr>
        <w:fldChar w:fldCharType="begin" w:fldLock="1"/>
      </w:r>
      <w:r w:rsidR="00C576C0">
        <w:rPr>
          <w:rFonts w:asciiTheme="majorBidi" w:hAnsiTheme="majorBidi" w:cstheme="majorBidi"/>
          <w:sz w:val="28"/>
          <w:szCs w:val="28"/>
        </w:rPr>
        <w:instrText>ADDIN CSL_CITATION {"citationItems":[{"id":"ITEM-1","itemData":{"DOI":"10.1177/0300060520915059","ISSN":"0300-0605","author":[{"dropping-particle":"","family":"Chen","given":"Yi-Tzu","non-dropping-particle":"","parse-names":false,"suffix":""},{"dropping-particle":"","family":"Chiu","given":"Yu-Wei","non-dropping-particle":"","parse-names":false,"suffix":""},{"dropping-particle":"","family":"Chang","given":"Yu-Chao","non-dropping-particle":"","parse-names":false,"suffix":""},{"dropping-particle":"","family":"Lin","given":"Chiao-Wen","non-dropping-particle":"","parse-names":false,"suffix":""}],"container-title":"Journal of International Medical Research","id":"ITEM-1","issue":"7","issued":{"date-parts":[["2020","7","24"]]},"page":"030006052091505","title":"Ten-year retrospective study on mandibular fractures in central Taiwan","type":"article-journal","volume":"48"},"uris":["http://www.mendeley.com/documents/?uuid=a5fa9867-e399-49e7-8082-37ea56196a99"]}],"mendeley":{"formattedCitation":"&lt;sup&gt;&lt;b&gt;(13)&lt;/b&gt;&lt;/sup&gt;","plainTextFormattedCitation":"(13)","previouslyFormattedCitation":"&lt;sup&gt;&lt;b&gt;(12)&lt;/b&gt;&lt;/sup&gt;"},"properties":{"noteIndex":0},"schema":"https://github.com/citation-style-language/schema/raw/master/csl-citation.json"}</w:instrText>
      </w:r>
      <w:r w:rsidRPr="00BF3C0C">
        <w:rPr>
          <w:rFonts w:asciiTheme="majorBidi" w:hAnsiTheme="majorBidi" w:cstheme="majorBidi"/>
          <w:sz w:val="28"/>
          <w:szCs w:val="28"/>
        </w:rPr>
        <w:fldChar w:fldCharType="separate"/>
      </w:r>
      <w:r w:rsidR="00C576C0" w:rsidRPr="00C576C0">
        <w:rPr>
          <w:rFonts w:asciiTheme="majorBidi" w:hAnsiTheme="majorBidi" w:cstheme="majorBidi"/>
          <w:b/>
          <w:noProof/>
          <w:sz w:val="28"/>
          <w:szCs w:val="28"/>
          <w:vertAlign w:val="superscript"/>
        </w:rPr>
        <w:t>(13)</w:t>
      </w:r>
      <w:r w:rsidRPr="00BF3C0C">
        <w:rPr>
          <w:rFonts w:asciiTheme="majorBidi" w:hAnsiTheme="majorBidi" w:cstheme="majorBidi"/>
          <w:sz w:val="28"/>
          <w:szCs w:val="28"/>
        </w:rPr>
        <w:fldChar w:fldCharType="end"/>
      </w:r>
      <w:r w:rsidRPr="00BF3C0C">
        <w:rPr>
          <w:rFonts w:asciiTheme="majorBidi" w:hAnsiTheme="majorBidi" w:cstheme="majorBidi"/>
          <w:sz w:val="28"/>
          <w:szCs w:val="28"/>
        </w:rPr>
        <w:t>. This may be attributed to the fact that the females drive vehicles less frequently and more carefully than males. Also, due to reckless driving and badly paved routes, bad condition of the vehicles and the insufficient use of seat belts in the developing countries.</w:t>
      </w:r>
    </w:p>
    <w:p w14:paraId="68BB8E2C" w14:textId="1F7FEFF5" w:rsidR="008050FD" w:rsidRPr="00BF3C0C" w:rsidRDefault="008050FD" w:rsidP="008050FD">
      <w:pPr>
        <w:jc w:val="both"/>
        <w:rPr>
          <w:rFonts w:asciiTheme="majorBidi" w:hAnsiTheme="majorBidi" w:cstheme="majorBidi"/>
          <w:sz w:val="28"/>
          <w:szCs w:val="28"/>
        </w:rPr>
      </w:pPr>
      <w:r w:rsidRPr="00BF3C0C">
        <w:rPr>
          <w:rFonts w:asciiTheme="majorBidi" w:hAnsiTheme="majorBidi" w:cstheme="majorBidi"/>
          <w:sz w:val="28"/>
          <w:szCs w:val="28"/>
        </w:rPr>
        <w:t>Using PRF instead of PRP in our study coincides with another two studies in which the effect of PRP and platelet-enriched fibrin on bone formation in bone tissue engineering was compared. The results indicated that the osteogenic characteristics of platelet-enriched fibrin are superior to those of PRP in bone tissue engineering</w:t>
      </w:r>
      <w:r w:rsidRPr="00BF3C0C">
        <w:rPr>
          <w:rFonts w:asciiTheme="majorBidi" w:hAnsiTheme="majorBidi" w:cstheme="majorBidi"/>
          <w:sz w:val="28"/>
          <w:szCs w:val="28"/>
          <w:vertAlign w:val="superscript"/>
        </w:rPr>
        <w:t xml:space="preserve"> </w:t>
      </w:r>
      <w:r w:rsidRPr="00BF3C0C">
        <w:rPr>
          <w:rFonts w:asciiTheme="majorBidi" w:hAnsiTheme="majorBidi" w:cstheme="majorBidi"/>
          <w:sz w:val="28"/>
          <w:szCs w:val="28"/>
          <w:vertAlign w:val="superscript"/>
        </w:rPr>
        <w:fldChar w:fldCharType="begin" w:fldLock="1"/>
      </w:r>
      <w:r w:rsidR="00C576C0">
        <w:rPr>
          <w:rFonts w:asciiTheme="majorBidi" w:hAnsiTheme="majorBidi" w:cstheme="majorBidi"/>
          <w:sz w:val="28"/>
          <w:szCs w:val="28"/>
          <w:vertAlign w:val="superscript"/>
        </w:rPr>
        <w:instrText>ADDIN CSL_CITATION {"citationItems":[{"id":"ITEM-1","itemData":{"DOI":"10.1016/j.tripleo.2005.08.034","ISSN":"10792104","author":[{"dropping-particle":"","family":"Zhu","given":"Shi-Jiang","non-dropping-particle":"","parse-names":false,"suffix":""},{"dropping-particle":"","family":"Choi","given":"Byung-Ho","non-dropping-particle":"","parse-names":false,"suffix":""},{"dropping-particle":"","family":"Jung","given":"Jae-Hyung","non-dropping-particle":"","parse-names":false,"suffix":""},{"dropping-particle":"","family":"Lee","given":"Seoung-Ho","non-dropping-particle":"","parse-names":false,"suffix":""},{"dropping-particle":"","family":"Huh","given":"Jin-Young","non-dropping-particle":"","parse-names":false,"suffix":""},{"dropping-particle":"","family":"You","given":"Tae-Min","non-dropping-particle":"","parse-names":false,"suffix":""},{"dropping-particle":"","family":"Lee","given":"Hyun-Jung","non-dropping-particle":"","parse-names":false,"suffix":""},{"dropping-particle":"","family":"Li","given":"Jingxu","non-dropping-particle":"","parse-names":false,"suffix":""}],"container-title":"Oral Surgery, Oral Medicine, Oral Pathology, Oral Radiology, and Endodontology","id":"ITEM-1","issue":"2","issued":{"date-parts":[["2006","8"]]},"page":"175-179","title":"A comparative histologic analysis of tissue-engineered bone using platelet-rich plasma and platelet-enriched fibrin glue","type":"article-journal","volume":"102"},"uris":["http://www.mendeley.com/documents/?uuid=215c0d70-b4d9-4105-8e76-8edc83a8045a"]}],"mendeley":{"formattedCitation":"&lt;sup&gt;&lt;b&gt;(14)&lt;/b&gt;&lt;/sup&gt;","plainTextFormattedCitation":"(14)","previouslyFormattedCitation":"&lt;sup&gt;&lt;b&gt;(13)&lt;/b&gt;&lt;/sup&gt;"},"properties":{"noteIndex":0},"schema":"https://github.com/citation-style-language/schema/raw/master/csl-citation.json"}</w:instrText>
      </w:r>
      <w:r w:rsidRPr="00BF3C0C">
        <w:rPr>
          <w:rFonts w:asciiTheme="majorBidi" w:hAnsiTheme="majorBidi" w:cstheme="majorBidi"/>
          <w:sz w:val="28"/>
          <w:szCs w:val="28"/>
          <w:vertAlign w:val="superscript"/>
        </w:rPr>
        <w:fldChar w:fldCharType="separate"/>
      </w:r>
      <w:r w:rsidR="00C576C0" w:rsidRPr="00C576C0">
        <w:rPr>
          <w:rFonts w:asciiTheme="majorBidi" w:hAnsiTheme="majorBidi" w:cstheme="majorBidi"/>
          <w:b/>
          <w:noProof/>
          <w:sz w:val="28"/>
          <w:szCs w:val="28"/>
          <w:vertAlign w:val="superscript"/>
        </w:rPr>
        <w:t>(14)</w:t>
      </w:r>
      <w:r w:rsidRPr="00BF3C0C">
        <w:rPr>
          <w:rFonts w:asciiTheme="majorBidi" w:hAnsiTheme="majorBidi" w:cstheme="majorBidi"/>
          <w:sz w:val="28"/>
          <w:szCs w:val="28"/>
        </w:rPr>
        <w:fldChar w:fldCharType="end"/>
      </w:r>
      <w:r w:rsidRPr="00BF3C0C">
        <w:rPr>
          <w:rFonts w:asciiTheme="majorBidi" w:hAnsiTheme="majorBidi" w:cstheme="majorBidi"/>
          <w:sz w:val="28"/>
          <w:szCs w:val="28"/>
        </w:rPr>
        <w:t xml:space="preserve">, </w:t>
      </w:r>
      <w:r w:rsidRPr="00BF3C0C">
        <w:rPr>
          <w:rFonts w:asciiTheme="majorBidi" w:hAnsiTheme="majorBidi" w:cstheme="majorBidi"/>
          <w:sz w:val="28"/>
          <w:szCs w:val="28"/>
        </w:rPr>
        <w:fldChar w:fldCharType="begin" w:fldLock="1"/>
      </w:r>
      <w:r w:rsidR="00C576C0">
        <w:rPr>
          <w:rFonts w:asciiTheme="majorBidi" w:hAnsiTheme="majorBidi" w:cstheme="majorBidi"/>
          <w:sz w:val="28"/>
          <w:szCs w:val="28"/>
        </w:rPr>
        <w:instrText>ADDIN CSL_CITATION {"citationItems":[{"id":"ITEM-1","itemData":{"DOI":"10.1097/01.OMX.0000452513.09455.7e","ISBN":"2090-097X","ISSN":"2090-097X","abstract":"Aim: The aim of this study was to evaluate the application of platelet-rich fibrin on the outcome of mandibular fractures., Patients and methods: Prospective comparative study carried on 24 patients ranging in age from 20 to 42 years. The patients were divided into two equal groups. Group I (control group): included eight patients treated by open reduction and direct osteosynthesis using 2.0-mm miniplate with conventional screw where nothing was locally applied on the fracture line. Group II [platelet-rich fibrin (PRF) group]: included eight patients treated by open reduction and direct osteosynthesis using 2.0-mm miniplate with conventional screw where the PRF was locally added to the fracture line., Results: PRF seem to be of clinical advantage in acceleration of bone healing in mandibular fractures. From the result of the present study we can concluded that: (a) the use of PRF seem to be of clinical advantage in acceleration of bone healing in mandibular fractures. (b) No adverse reaction that could be related to the use of PRF was reported., (C) 2014 Egyptian Associations of Oral and Maxillofacial Surgery","author":[{"dropping-particle":"","family":"Al-Khawlani","given":"Ebrahim","non-dropping-particle":"","parse-names":false,"suffix":""},{"dropping-particle":"","family":"Adly","given":"Osama","non-dropping-particle":"","parse-names":false,"suffix":""},{"dropping-particle":"","family":"Hamed","given":"Tamer","non-dropping-particle":"","parse-names":false,"suffix":""},{"dropping-particle":"","family":"Abass","given":"Ashraf","non-dropping-particle":"","parse-names":false,"suffix":""},{"dropping-particle":"","family":"Abdelmabood","given":"Abdelbadia","non-dropping-particle":"","parse-names":false,"suffix":""}],"container-title":"Egypt. J. Oral Maxillofac. surg.","id":"ITEM-1","issue":"3","issued":{"date-parts":[["2014"]]},"page":"77-83","title":"Clinical and radiographic evaluation of platelet-rich fibrin gel on the outcome of mandibular fracture.","type":"article-journal","volume":"5"},"uris":["http://www.mendeley.com/documents/?uuid=c8b01ba1-3208-429f-b165-98e19fffc7e8"]}],"mendeley":{"formattedCitation":"&lt;sup&gt;&lt;b&gt;(15)&lt;/b&gt;&lt;/sup&gt;","plainTextFormattedCitation":"(15)","previouslyFormattedCitation":"&lt;sup&gt;&lt;b&gt;(14)&lt;/b&gt;&lt;/sup&gt;"},"properties":{"noteIndex":0},"schema":"https://github.com/citation-style-language/schema/raw/master/csl-citation.json"}</w:instrText>
      </w:r>
      <w:r w:rsidRPr="00BF3C0C">
        <w:rPr>
          <w:rFonts w:asciiTheme="majorBidi" w:hAnsiTheme="majorBidi" w:cstheme="majorBidi"/>
          <w:sz w:val="28"/>
          <w:szCs w:val="28"/>
        </w:rPr>
        <w:fldChar w:fldCharType="separate"/>
      </w:r>
      <w:r w:rsidR="00C576C0" w:rsidRPr="00C576C0">
        <w:rPr>
          <w:rFonts w:asciiTheme="majorBidi" w:hAnsiTheme="majorBidi" w:cstheme="majorBidi"/>
          <w:b/>
          <w:noProof/>
          <w:sz w:val="28"/>
          <w:szCs w:val="28"/>
          <w:vertAlign w:val="superscript"/>
        </w:rPr>
        <w:t>(15)</w:t>
      </w:r>
      <w:r w:rsidRPr="00BF3C0C">
        <w:rPr>
          <w:rFonts w:asciiTheme="majorBidi" w:hAnsiTheme="majorBidi" w:cstheme="majorBidi"/>
          <w:sz w:val="28"/>
          <w:szCs w:val="28"/>
        </w:rPr>
        <w:fldChar w:fldCharType="end"/>
      </w:r>
      <w:r w:rsidRPr="00BF3C0C">
        <w:rPr>
          <w:rFonts w:asciiTheme="majorBidi" w:hAnsiTheme="majorBidi" w:cstheme="majorBidi"/>
          <w:sz w:val="28"/>
          <w:szCs w:val="28"/>
        </w:rPr>
        <w:t>. However, this finding was not in agreement with an in-vitro human cell culture study that aimed to examine the growth factors release from PRP and PRF. They showed that PRP application in cell cultures leads to higher levels of growth factors than PRF application</w:t>
      </w:r>
      <w:r w:rsidRPr="00BF3C0C">
        <w:rPr>
          <w:rFonts w:asciiTheme="majorBidi" w:hAnsiTheme="majorBidi" w:cstheme="majorBidi"/>
          <w:sz w:val="28"/>
          <w:szCs w:val="28"/>
          <w:vertAlign w:val="superscript"/>
        </w:rPr>
        <w:t xml:space="preserve"> </w:t>
      </w:r>
      <w:r w:rsidRPr="00BF3C0C">
        <w:rPr>
          <w:rFonts w:asciiTheme="majorBidi" w:hAnsiTheme="majorBidi" w:cstheme="majorBidi"/>
          <w:sz w:val="28"/>
          <w:szCs w:val="28"/>
          <w:vertAlign w:val="superscript"/>
        </w:rPr>
        <w:fldChar w:fldCharType="begin" w:fldLock="1"/>
      </w:r>
      <w:r w:rsidR="00C576C0">
        <w:rPr>
          <w:rFonts w:asciiTheme="majorBidi" w:hAnsiTheme="majorBidi" w:cstheme="majorBidi"/>
          <w:sz w:val="28"/>
          <w:szCs w:val="28"/>
          <w:vertAlign w:val="superscript"/>
        </w:rPr>
        <w:instrText>ADDIN CSL_CITATION {"citationItems":[{"id":"ITEM-1","itemData":{"DOI":"10.1016/j.tripleo.2009.02.007","ISSN":"10792104","author":[{"dropping-particle":"","family":"Gaßling","given":"Volker L.W.","non-dropping-particle":"","parse-names":false,"suffix":""},{"dropping-particle":"","family":"Açil","given":"Yahya","non-dropping-particle":"","parse-names":false,"suffix":""},{"dropping-particle":"","family":"Springer","given":"Ingo N.","non-dropping-particle":"","parse-names":false,"suffix":""},{"dropping-particle":"","family":"Hubert","given":"Nina","non-dropping-particle":"","parse-names":false,"suffix":""},{"dropping-particle":"","family":"Wiltfang","given":"Jörg","non-dropping-particle":"","parse-names":false,"suffix":""}],"container-title":"Oral Surgery, Oral Medicine, Oral Pathology, Oral Radiology, and Endodontology","id":"ITEM-1","issue":"1","issued":{"date-parts":[["2009","7"]]},"page":"48-55","title":"Platelet-rich Plasma and Platelet-rich fibrin in human cell culture","type":"article-journal","volume":"108"},"uris":["http://www.mendeley.com/documents/?uuid=94b7f481-03fe-4fd9-87ea-7db7c257ebf3"]}],"mendeley":{"formattedCitation":"&lt;sup&gt;&lt;b&gt;(16)&lt;/b&gt;&lt;/sup&gt;","plainTextFormattedCitation":"(16)","previouslyFormattedCitation":"&lt;sup&gt;&lt;b&gt;(15)&lt;/b&gt;&lt;/sup&gt;"},"properties":{"noteIndex":0},"schema":"https://github.com/citation-style-language/schema/raw/master/csl-citation.json"}</w:instrText>
      </w:r>
      <w:r w:rsidRPr="00BF3C0C">
        <w:rPr>
          <w:rFonts w:asciiTheme="majorBidi" w:hAnsiTheme="majorBidi" w:cstheme="majorBidi"/>
          <w:sz w:val="28"/>
          <w:szCs w:val="28"/>
          <w:vertAlign w:val="superscript"/>
        </w:rPr>
        <w:fldChar w:fldCharType="separate"/>
      </w:r>
      <w:r w:rsidR="00C576C0" w:rsidRPr="00C576C0">
        <w:rPr>
          <w:rFonts w:asciiTheme="majorBidi" w:hAnsiTheme="majorBidi" w:cstheme="majorBidi"/>
          <w:b/>
          <w:noProof/>
          <w:sz w:val="28"/>
          <w:szCs w:val="28"/>
          <w:vertAlign w:val="superscript"/>
        </w:rPr>
        <w:t>(16)</w:t>
      </w:r>
      <w:r w:rsidRPr="00BF3C0C">
        <w:rPr>
          <w:rFonts w:asciiTheme="majorBidi" w:hAnsiTheme="majorBidi" w:cstheme="majorBidi"/>
          <w:sz w:val="28"/>
          <w:szCs w:val="28"/>
        </w:rPr>
        <w:fldChar w:fldCharType="end"/>
      </w:r>
      <w:r w:rsidRPr="00BF3C0C">
        <w:rPr>
          <w:rFonts w:asciiTheme="majorBidi" w:hAnsiTheme="majorBidi" w:cstheme="majorBidi"/>
          <w:sz w:val="28"/>
          <w:szCs w:val="28"/>
        </w:rPr>
        <w:t>. The difference from other results may be because most of PRF growth factors were embedded in the clot and gradually released and exerted a stronger and more durable effect than PRP which provides a sudden release of growth factors after which the concentrations of growth factor fall.</w:t>
      </w:r>
      <w:r w:rsidRPr="00BF3C0C">
        <w:rPr>
          <w:rFonts w:asciiTheme="majorBidi" w:hAnsiTheme="majorBidi" w:cstheme="majorBidi"/>
          <w:sz w:val="28"/>
          <w:szCs w:val="28"/>
          <w:rtl/>
          <w:lang w:bidi="ar-EG"/>
        </w:rPr>
        <w:t xml:space="preserve"> </w:t>
      </w:r>
    </w:p>
    <w:p w14:paraId="7E4A1515" w14:textId="333C98B6" w:rsidR="008050FD" w:rsidRPr="00BF3C0C" w:rsidRDefault="008050FD" w:rsidP="008050FD">
      <w:pPr>
        <w:jc w:val="both"/>
        <w:rPr>
          <w:rFonts w:asciiTheme="majorBidi" w:hAnsiTheme="majorBidi" w:cstheme="majorBidi"/>
          <w:sz w:val="28"/>
          <w:szCs w:val="28"/>
        </w:rPr>
      </w:pPr>
      <w:r w:rsidRPr="00BF3C0C">
        <w:rPr>
          <w:rFonts w:asciiTheme="majorBidi" w:hAnsiTheme="majorBidi" w:cstheme="majorBidi"/>
          <w:sz w:val="28"/>
          <w:szCs w:val="28"/>
        </w:rPr>
        <w:t>The present study showed that the mean bone density in the study group was higher than the control group. This finding proved to be statistically significant throughout the follow up period.  A lot of studies support the PRF as a healing biomaterial because the high levels of growth factors in the PRF which accelerates the proliferation of osteoprogenitor cells. Moreover, the fibrin seems to be a relevant matrix to support osteoblastic growth and differentiation, that is why it is used frequently during bone tissue-engineering experimentations</w:t>
      </w:r>
      <w:r w:rsidRPr="00BF3C0C">
        <w:rPr>
          <w:rFonts w:asciiTheme="majorBidi" w:hAnsiTheme="majorBidi" w:cstheme="majorBidi"/>
          <w:sz w:val="28"/>
          <w:szCs w:val="28"/>
          <w:vertAlign w:val="superscript"/>
        </w:rPr>
        <w:t xml:space="preserve"> </w:t>
      </w:r>
      <w:r w:rsidRPr="00BF3C0C">
        <w:rPr>
          <w:rFonts w:asciiTheme="majorBidi" w:hAnsiTheme="majorBidi" w:cstheme="majorBidi"/>
          <w:sz w:val="28"/>
          <w:szCs w:val="28"/>
          <w:vertAlign w:val="superscript"/>
        </w:rPr>
        <w:fldChar w:fldCharType="begin" w:fldLock="1"/>
      </w:r>
      <w:r w:rsidR="00C576C0">
        <w:rPr>
          <w:rFonts w:asciiTheme="majorBidi" w:hAnsiTheme="majorBidi" w:cstheme="majorBidi"/>
          <w:sz w:val="28"/>
          <w:szCs w:val="28"/>
          <w:vertAlign w:val="superscript"/>
        </w:rPr>
        <w:instrText>ADDIN CSL_CITATION {"citationItems":[{"id":"ITEM-1","itemData":{"DOI":"10.3389/fcvm.2019.00126","ISSN":"2297-055X","author":[{"dropping-particle":"","family":"Al-Hamed","given":"Faez Saleh","non-dropping-particle":"","parse-names":false,"suffix":""},{"dropping-particle":"","family":"Mahri","given":"Mohammed","non-dropping-particle":"","parse-names":false,"suffix":""},{"dropping-particle":"","family":"Al-Waeli","given":"Haider","non-dropping-particle":"","parse-names":false,"suffix":""},{"dropping-particle":"","family":"Torres","given":"Jesus","non-dropping-particle":"","parse-names":false,"suffix":""},{"dropping-particle":"","family":"Badran","given":"Zahi","non-dropping-particle":"","parse-names":false,"suffix":""},{"dropping-particle":"","family":"Tamimi","given":"Faleh","non-dropping-particle":"","parse-names":false,"suffix":""}],"container-title":"Frontiers in Cardiovascular Medicine","id":"ITEM-1","issued":{"date-parts":[["2019","9","3"]]},"title":"Regenerative Effect of Platelet Concentrates in Oral and Craniofacial Regeneration","type":"article-journal","volume":"6"},"uris":["http://www.mendeley.com/documents/?uuid=f15ab678-acdb-402f-bb66-682de4677e80"]}],"mendeley":{"formattedCitation":"&lt;sup&gt;&lt;b&gt;(17)&lt;/b&gt;&lt;/sup&gt;","plainTextFormattedCitation":"(17)","previouslyFormattedCitation":"&lt;sup&gt;&lt;b&gt;(16)&lt;/b&gt;&lt;/sup&gt;"},"properties":{"noteIndex":0},"schema":"https://github.com/citation-style-language/schema/raw/master/csl-citation.json"}</w:instrText>
      </w:r>
      <w:r w:rsidRPr="00BF3C0C">
        <w:rPr>
          <w:rFonts w:asciiTheme="majorBidi" w:hAnsiTheme="majorBidi" w:cstheme="majorBidi"/>
          <w:sz w:val="28"/>
          <w:szCs w:val="28"/>
          <w:vertAlign w:val="superscript"/>
        </w:rPr>
        <w:fldChar w:fldCharType="separate"/>
      </w:r>
      <w:r w:rsidR="00C576C0" w:rsidRPr="00C576C0">
        <w:rPr>
          <w:rFonts w:asciiTheme="majorBidi" w:hAnsiTheme="majorBidi" w:cstheme="majorBidi"/>
          <w:b/>
          <w:noProof/>
          <w:sz w:val="28"/>
          <w:szCs w:val="28"/>
          <w:vertAlign w:val="superscript"/>
        </w:rPr>
        <w:t>(17)</w:t>
      </w:r>
      <w:r w:rsidRPr="00BF3C0C">
        <w:rPr>
          <w:rFonts w:asciiTheme="majorBidi" w:hAnsiTheme="majorBidi" w:cstheme="majorBidi"/>
          <w:sz w:val="28"/>
          <w:szCs w:val="28"/>
        </w:rPr>
        <w:fldChar w:fldCharType="end"/>
      </w:r>
      <w:r w:rsidRPr="00BF3C0C">
        <w:rPr>
          <w:rFonts w:asciiTheme="majorBidi" w:hAnsiTheme="majorBidi" w:cstheme="majorBidi"/>
          <w:sz w:val="28"/>
          <w:szCs w:val="28"/>
        </w:rPr>
        <w:t xml:space="preserve">.  </w:t>
      </w:r>
    </w:p>
    <w:p w14:paraId="7B17CFE5" w14:textId="5306053F" w:rsidR="008050FD" w:rsidRPr="00BF3C0C" w:rsidRDefault="008050FD" w:rsidP="008050FD">
      <w:pPr>
        <w:jc w:val="both"/>
        <w:rPr>
          <w:rFonts w:asciiTheme="majorBidi" w:hAnsiTheme="majorBidi" w:cstheme="majorBidi"/>
          <w:sz w:val="28"/>
          <w:szCs w:val="28"/>
        </w:rPr>
      </w:pPr>
      <w:r w:rsidRPr="00BF3C0C">
        <w:rPr>
          <w:rFonts w:asciiTheme="majorBidi" w:hAnsiTheme="majorBidi" w:cstheme="majorBidi"/>
          <w:sz w:val="28"/>
          <w:szCs w:val="28"/>
        </w:rPr>
        <w:t xml:space="preserve">Our result was in agreement with </w:t>
      </w:r>
      <w:r w:rsidRPr="00BF3C0C">
        <w:rPr>
          <w:rFonts w:asciiTheme="majorBidi" w:hAnsiTheme="majorBidi" w:cstheme="majorBidi"/>
          <w:sz w:val="28"/>
          <w:szCs w:val="28"/>
        </w:rPr>
        <w:fldChar w:fldCharType="begin" w:fldLock="1"/>
      </w:r>
      <w:r w:rsidR="00C576C0">
        <w:rPr>
          <w:rFonts w:asciiTheme="majorBidi" w:hAnsiTheme="majorBidi" w:cstheme="majorBidi"/>
          <w:sz w:val="28"/>
          <w:szCs w:val="28"/>
        </w:rPr>
        <w:instrText>ADDIN CSL_CITATION {"citationItems":[{"id":"ITEM-1","itemData":{"DOI":"10.21608/adjalexu.2018.57595","ISSN":"2536-9156","author":[{"dropping-particle":"","family":"Rayess","given":"Amany M.","non-dropping-particle":"Al","parse-names":false,"suffix":""},{"dropping-particle":"","family":"Dibany","given":"Mostafa M.","non-dropping-particle":"El","parse-names":false,"suffix":""},{"dropping-particle":"","family":"Melek","given":"Lydia N.","non-dropping-particle":"","parse-names":false,"suffix":""}],"container-title":"Alexandria Dental Journal","id":"ITEM-1","issue":"1","issued":{"date-parts":[["2018","4","1"]]},"page":"41-47","title":"Clinical and radiographic study of healing of mandibular fractures using plasma rich fibrin membrane with miniplate fixation","type":"article-journal","volume":"43"},"uris":["http://www.mendeley.com/documents/?uuid=269f8ac9-cc07-49d4-85b0-810a3d06d1f1"]}],"mendeley":{"formattedCitation":"&lt;sup&gt;&lt;b&gt;(18)&lt;/b&gt;&lt;/sup&gt;","plainTextFormattedCitation":"(18)","previouslyFormattedCitation":"&lt;sup&gt;&lt;b&gt;(17)&lt;/b&gt;&lt;/sup&gt;"},"properties":{"noteIndex":0},"schema":"https://github.com/citation-style-language/schema/raw/master/csl-citation.json"}</w:instrText>
      </w:r>
      <w:r w:rsidRPr="00BF3C0C">
        <w:rPr>
          <w:rFonts w:asciiTheme="majorBidi" w:hAnsiTheme="majorBidi" w:cstheme="majorBidi"/>
          <w:sz w:val="28"/>
          <w:szCs w:val="28"/>
        </w:rPr>
        <w:fldChar w:fldCharType="separate"/>
      </w:r>
      <w:r w:rsidR="00C576C0" w:rsidRPr="00C576C0">
        <w:rPr>
          <w:rFonts w:asciiTheme="majorBidi" w:hAnsiTheme="majorBidi" w:cstheme="majorBidi"/>
          <w:b/>
          <w:noProof/>
          <w:sz w:val="28"/>
          <w:szCs w:val="28"/>
          <w:vertAlign w:val="superscript"/>
        </w:rPr>
        <w:t>(18)</w:t>
      </w:r>
      <w:r w:rsidRPr="00BF3C0C">
        <w:rPr>
          <w:rFonts w:asciiTheme="majorBidi" w:hAnsiTheme="majorBidi" w:cstheme="majorBidi"/>
          <w:sz w:val="28"/>
          <w:szCs w:val="28"/>
        </w:rPr>
        <w:fldChar w:fldCharType="end"/>
      </w:r>
      <w:r w:rsidRPr="00BF3C0C">
        <w:rPr>
          <w:rFonts w:asciiTheme="majorBidi" w:hAnsiTheme="majorBidi" w:cstheme="majorBidi"/>
          <w:sz w:val="28"/>
          <w:szCs w:val="28"/>
        </w:rPr>
        <w:t>, they conducted a split- mouth clinical trial where 12 patients were suffering from bilateral mandibular fractures were included. they found that PRF application on the fracture line was helpful in improvement and acceleration of the fracture healing.</w:t>
      </w:r>
      <w:r w:rsidR="000D4A49">
        <w:rPr>
          <w:rFonts w:asciiTheme="majorBidi" w:hAnsiTheme="majorBidi" w:cstheme="majorBidi"/>
          <w:sz w:val="28"/>
          <w:szCs w:val="28"/>
        </w:rPr>
        <w:t xml:space="preserve"> </w:t>
      </w:r>
      <w:r w:rsidRPr="00BF3C0C">
        <w:rPr>
          <w:rFonts w:asciiTheme="majorBidi" w:hAnsiTheme="majorBidi" w:cstheme="majorBidi"/>
          <w:sz w:val="28"/>
          <w:szCs w:val="28"/>
        </w:rPr>
        <w:fldChar w:fldCharType="begin" w:fldLock="1"/>
      </w:r>
      <w:r w:rsidR="00C576C0">
        <w:rPr>
          <w:rFonts w:asciiTheme="majorBidi" w:hAnsiTheme="majorBidi" w:cstheme="majorBidi"/>
          <w:sz w:val="28"/>
          <w:szCs w:val="28"/>
        </w:rPr>
        <w:instrText>ADDIN CSL_CITATION {"citationItems":[{"id":"ITEM-1","itemData":{"DOI":"10.1016/j.bjoms.2015.10.015","ISSN":"15321940","PMID":"26564430","abstract":"Current published data presents confusing results about the effects of platelet-rich fibrin on bone, and there is a need for studies that throw light on its effect. Our main objective therefore was to evaluate (by fractal analysis) osseous regeneration in extraction sockets with and without platelet-rich fibrin in a study with a substantial sample and a reliable technique to calibrate its effects on bone cells. We also assessed the soft tissue response. Thirty-four patients had their bilaterally impacted third molars (68 surgical sites) extracted in this split-mouth study, following which platelet-rich fibrin was placed in one of the sockets. Patients were followed up clinically and radiographically, and a pain score and fractal analysis were used to evaluate healing of soft tissue and bone, respectively. We conclude that platelet-rich fibrin improves healing of both soft and hard tissues. Although osseous healing did not differ significantly between the groups, healing of soft tissue as judged by the pain score was significantly better in the experimental group.","author":[{"dropping-particle":"","family":"Kumar","given":"Yuvika Raj","non-dropping-particle":"","parse-names":false,"suffix":""},{"dropping-particle":"","family":"Mohanty","given":"Sujata","non-dropping-particle":"","parse-names":false,"suffix":""},{"dropping-particle":"","family":"Verma","given":"Mahesh","non-dropping-particle":"","parse-names":false,"suffix":""},{"dropping-particle":"","family":"Kaur","given":"Raunaq Reet","non-dropping-particle":"","parse-names":false,"suffix":""},{"dropping-particle":"","family":"Bhatia","given":"Priyanka","non-dropping-particle":"","parse-names":false,"suffix":""},{"dropping-particle":"","family":"Kumar","given":"Varun Raj","non-dropping-particle":"","parse-names":false,"suffix":""},{"dropping-particle":"","family":"Chaudhary","given":"Zainab","non-dropping-particle":"","parse-names":false,"suffix":""}],"container-title":"British Journal of Oral and Maxillofacial Surgery","id":"ITEM-1","issue":"1","issued":{"date-parts":[["2015"]]},"page":"57-61","publisher":"British Association of Oral and Maxillofacial Surgeons","title":"Platelet-rich fibrin: The benefits","type":"article-journal","volume":"54"},"uris":["http://www.mendeley.com/documents/?uuid=60b2529a-cf33-4661-a9d9-dd1a6c7245c3"]}],"mendeley":{"formattedCitation":"&lt;sup&gt;&lt;b&gt;(19)&lt;/b&gt;&lt;/sup&gt;","plainTextFormattedCitation":"(19)","previouslyFormattedCitation":"&lt;sup&gt;&lt;b&gt;(18)&lt;/b&gt;&lt;/sup&gt;"},"properties":{"noteIndex":0},"schema":"https://github.com/citation-style-language/schema/raw/master/csl-citation.json"}</w:instrText>
      </w:r>
      <w:r w:rsidRPr="00BF3C0C">
        <w:rPr>
          <w:rFonts w:asciiTheme="majorBidi" w:hAnsiTheme="majorBidi" w:cstheme="majorBidi"/>
          <w:sz w:val="28"/>
          <w:szCs w:val="28"/>
        </w:rPr>
        <w:fldChar w:fldCharType="separate"/>
      </w:r>
      <w:r w:rsidR="00C576C0" w:rsidRPr="00C576C0">
        <w:rPr>
          <w:rFonts w:asciiTheme="majorBidi" w:hAnsiTheme="majorBidi" w:cstheme="majorBidi"/>
          <w:b/>
          <w:noProof/>
          <w:sz w:val="28"/>
          <w:szCs w:val="28"/>
          <w:vertAlign w:val="superscript"/>
        </w:rPr>
        <w:t>(19)</w:t>
      </w:r>
      <w:r w:rsidRPr="00BF3C0C">
        <w:rPr>
          <w:rFonts w:asciiTheme="majorBidi" w:hAnsiTheme="majorBidi" w:cstheme="majorBidi"/>
          <w:sz w:val="28"/>
          <w:szCs w:val="28"/>
        </w:rPr>
        <w:fldChar w:fldCharType="end"/>
      </w:r>
      <w:r w:rsidRPr="00BF3C0C">
        <w:rPr>
          <w:rFonts w:asciiTheme="majorBidi" w:hAnsiTheme="majorBidi" w:cstheme="majorBidi"/>
          <w:sz w:val="28"/>
          <w:szCs w:val="28"/>
        </w:rPr>
        <w:t xml:space="preserve"> also conducted a split-mouth study to evaluate osseous regeneration in extraction sockets with and without platelet-rich fibrin to assess its effects on bone cells and soft tissue response. They concluded that platelet-rich fibrin improves healing of both soft and hard tissues. Although osseous healing did not differ significantly between the groups.</w:t>
      </w:r>
      <w:r>
        <w:rPr>
          <w:rFonts w:asciiTheme="majorBidi" w:hAnsiTheme="majorBidi" w:cstheme="majorBidi"/>
          <w:sz w:val="28"/>
          <w:szCs w:val="28"/>
        </w:rPr>
        <w:t xml:space="preserve"> </w:t>
      </w:r>
      <w:r w:rsidRPr="00BF3C0C">
        <w:rPr>
          <w:rFonts w:asciiTheme="majorBidi" w:hAnsiTheme="majorBidi" w:cstheme="majorBidi"/>
          <w:sz w:val="28"/>
          <w:szCs w:val="28"/>
        </w:rPr>
        <w:t xml:space="preserve">Also, </w:t>
      </w:r>
      <w:r w:rsidRPr="00BF3C0C">
        <w:rPr>
          <w:rFonts w:asciiTheme="majorBidi" w:hAnsiTheme="majorBidi" w:cstheme="majorBidi"/>
          <w:sz w:val="28"/>
          <w:szCs w:val="28"/>
        </w:rPr>
        <w:fldChar w:fldCharType="begin" w:fldLock="1"/>
      </w:r>
      <w:r w:rsidR="00C576C0">
        <w:rPr>
          <w:rFonts w:asciiTheme="majorBidi" w:hAnsiTheme="majorBidi" w:cstheme="majorBidi"/>
          <w:sz w:val="28"/>
          <w:szCs w:val="28"/>
        </w:rPr>
        <w:instrText>ADDIN CSL_CITATION {"citationItems":[{"id":"ITEM-1","itemData":{"DOI":"10.1097/01.OMX.0000452513.09455.7e","ISBN":"2090-097X","ISSN":"2090-097X","abstract":"Aim: The aim of this study was to evaluate the application of platelet-rich fibrin on the outcome of mandibular fractures., Patients and methods: Prospective comparative study carried on 24 patients ranging in age from 20 to 42 years. The patients were divided into two equal groups. Group I (control group): included eight patients treated by open reduction and direct osteosynthesis using 2.0-mm miniplate with conventional screw where nothing was locally applied on the fracture line. Group II [platelet-rich fibrin (PRF) group]: included eight patients treated by open reduction and direct osteosynthesis using 2.0-mm miniplate with conventional screw where the PRF was locally added to the fracture line., Results: PRF seem to be of clinical advantage in acceleration of bone healing in mandibular fractures. From the result of the present study we can concluded that: (a) the use of PRF seem to be of clinical advantage in acceleration of bone healing in mandibular fractures. (b) No adverse reaction that could be related to the use of PRF was reported., (C) 2014 Egyptian Associations of Oral and Maxillofacial Surgery","author":[{"dropping-particle":"","family":"Al-Khawlani","given":"Ebrahim","non-dropping-particle":"","parse-names":false,"suffix":""},{"dropping-particle":"","family":"Adly","given":"Osama","non-dropping-particle":"","parse-names":false,"suffix":""},{"dropping-particle":"","family":"Hamed","given":"Tamer","non-dropping-particle":"","parse-names":false,"suffix":""},{"dropping-particle":"","family":"Abass","given":"Ashraf","non-dropping-particle":"","parse-names":false,"suffix":""},{"dropping-particle":"","family":"Abdelmabood","given":"Abdelbadia","non-dropping-particle":"","parse-names":false,"suffix":""}],"container-title":"Egypt. J. Oral Maxillofac. surg.","id":"ITEM-1","issue":"3","issued":{"date-parts":[["2014"]]},"page":"77-83","title":"Clinical and radiographic evaluation of platelet-rich fibrin gel on the outcome of mandibular fracture.","type":"article-journal","volume":"5"},"uris":["http://www.mendeley.com/documents/?uuid=c8b01ba1-3208-429f-b165-98e19fffc7e8"]}],"mendeley":{"formattedCitation":"&lt;sup&gt;&lt;b&gt;(15)&lt;/b&gt;&lt;/sup&gt;","plainTextFormattedCitation":"(15)","previouslyFormattedCitation":"&lt;sup&gt;&lt;b&gt;(14)&lt;/b&gt;&lt;/sup&gt;"},"properties":{"noteIndex":0},"schema":"https://github.com/citation-style-language/schema/raw/master/csl-citation.json"}</w:instrText>
      </w:r>
      <w:r w:rsidRPr="00BF3C0C">
        <w:rPr>
          <w:rFonts w:asciiTheme="majorBidi" w:hAnsiTheme="majorBidi" w:cstheme="majorBidi"/>
          <w:sz w:val="28"/>
          <w:szCs w:val="28"/>
        </w:rPr>
        <w:fldChar w:fldCharType="separate"/>
      </w:r>
      <w:r w:rsidR="00C576C0" w:rsidRPr="00C576C0">
        <w:rPr>
          <w:rFonts w:asciiTheme="majorBidi" w:hAnsiTheme="majorBidi" w:cstheme="majorBidi"/>
          <w:b/>
          <w:noProof/>
          <w:sz w:val="28"/>
          <w:szCs w:val="28"/>
          <w:vertAlign w:val="superscript"/>
        </w:rPr>
        <w:t>(15)</w:t>
      </w:r>
      <w:r w:rsidRPr="00BF3C0C">
        <w:rPr>
          <w:rFonts w:asciiTheme="majorBidi" w:hAnsiTheme="majorBidi" w:cstheme="majorBidi"/>
          <w:sz w:val="28"/>
          <w:szCs w:val="28"/>
        </w:rPr>
        <w:fldChar w:fldCharType="end"/>
      </w:r>
      <w:r w:rsidRPr="00BF3C0C">
        <w:rPr>
          <w:rFonts w:asciiTheme="majorBidi" w:hAnsiTheme="majorBidi" w:cstheme="majorBidi"/>
          <w:sz w:val="28"/>
          <w:szCs w:val="28"/>
        </w:rPr>
        <w:t xml:space="preserve"> conducted a study to evaluate the validity of application of the platelet-rich fibrin versus platelet-rich plasma on the outcome of the mandibular fracture. They concluded that PRP and PRF seem to aid acceleration of bone healing in mandibular fractures, but PRF more efficient than PRP in bone formation. </w:t>
      </w:r>
    </w:p>
    <w:p w14:paraId="5B8F7B67" w14:textId="204777A2" w:rsidR="008050FD" w:rsidRPr="00BF3C0C" w:rsidRDefault="008050FD" w:rsidP="008050FD">
      <w:pPr>
        <w:jc w:val="both"/>
        <w:rPr>
          <w:rFonts w:asciiTheme="majorBidi" w:hAnsiTheme="majorBidi" w:cstheme="majorBidi"/>
          <w:sz w:val="28"/>
          <w:szCs w:val="28"/>
        </w:rPr>
      </w:pPr>
      <w:r w:rsidRPr="00BF3C0C">
        <w:rPr>
          <w:rFonts w:asciiTheme="majorBidi" w:hAnsiTheme="majorBidi" w:cstheme="majorBidi"/>
          <w:sz w:val="28"/>
          <w:szCs w:val="28"/>
        </w:rPr>
        <w:t>Regarding the postoperative pain, it was assessed using a Numeric Rating Scale (NRS), there was no significant difference between the results of post operative pain during 1</w:t>
      </w:r>
      <w:r w:rsidRPr="00BF3C0C">
        <w:rPr>
          <w:rFonts w:asciiTheme="majorBidi" w:hAnsiTheme="majorBidi" w:cstheme="majorBidi"/>
          <w:sz w:val="28"/>
          <w:szCs w:val="28"/>
          <w:vertAlign w:val="superscript"/>
        </w:rPr>
        <w:t>st</w:t>
      </w:r>
      <w:r w:rsidRPr="00BF3C0C">
        <w:rPr>
          <w:rFonts w:asciiTheme="majorBidi" w:hAnsiTheme="majorBidi" w:cstheme="majorBidi"/>
          <w:sz w:val="28"/>
          <w:szCs w:val="28"/>
        </w:rPr>
        <w:t>, 3</w:t>
      </w:r>
      <w:r w:rsidRPr="00BF3C0C">
        <w:rPr>
          <w:rFonts w:asciiTheme="majorBidi" w:hAnsiTheme="majorBidi" w:cstheme="majorBidi"/>
          <w:sz w:val="28"/>
          <w:szCs w:val="28"/>
          <w:vertAlign w:val="superscript"/>
        </w:rPr>
        <w:t>rd</w:t>
      </w:r>
      <w:r w:rsidRPr="00BF3C0C">
        <w:rPr>
          <w:rFonts w:asciiTheme="majorBidi" w:hAnsiTheme="majorBidi" w:cstheme="majorBidi"/>
          <w:sz w:val="28"/>
          <w:szCs w:val="28"/>
        </w:rPr>
        <w:t xml:space="preserve"> day and 1 week in the two groups. Our results came in agree </w:t>
      </w:r>
      <w:r w:rsidRPr="00BF3C0C">
        <w:rPr>
          <w:rFonts w:asciiTheme="majorBidi" w:hAnsiTheme="majorBidi" w:cstheme="majorBidi"/>
          <w:sz w:val="28"/>
          <w:szCs w:val="28"/>
        </w:rPr>
        <w:lastRenderedPageBreak/>
        <w:t xml:space="preserve">with </w:t>
      </w:r>
      <w:r w:rsidRPr="00BF3C0C">
        <w:rPr>
          <w:rFonts w:asciiTheme="majorBidi" w:hAnsiTheme="majorBidi" w:cstheme="majorBidi"/>
          <w:sz w:val="28"/>
          <w:szCs w:val="28"/>
        </w:rPr>
        <w:fldChar w:fldCharType="begin" w:fldLock="1"/>
      </w:r>
      <w:r w:rsidR="00C576C0">
        <w:rPr>
          <w:rFonts w:asciiTheme="majorBidi" w:hAnsiTheme="majorBidi" w:cstheme="majorBidi"/>
          <w:sz w:val="28"/>
          <w:szCs w:val="28"/>
        </w:rPr>
        <w:instrText>ADDIN CSL_CITATION {"citationItems":[{"id":"ITEM-1","itemData":{"DOI":"10.21608/adjalexu.2018.57595","ISSN":"2536-9156","author":[{"dropping-particle":"","family":"Rayess","given":"Amany M.","non-dropping-particle":"Al","parse-names":false,"suffix":""},{"dropping-particle":"","family":"Dibany","given":"Mostafa M.","non-dropping-particle":"El","parse-names":false,"suffix":""},{"dropping-particle":"","family":"Melek","given":"Lydia N.","non-dropping-particle":"","parse-names":false,"suffix":""}],"container-title":"Alexandria Dental Journal","id":"ITEM-1","issue":"1","issued":{"date-parts":[["2018","4","1"]]},"page":"41-47","title":"Clinical and radiographic study of healing of mandibular fractures using plasma rich fibrin membrane with miniplate fixation","type":"article-journal","volume":"43"},"uris":["http://www.mendeley.com/documents/?uuid=269f8ac9-cc07-49d4-85b0-810a3d06d1f1"]}],"mendeley":{"formattedCitation":"&lt;sup&gt;&lt;b&gt;(18)&lt;/b&gt;&lt;/sup&gt;","plainTextFormattedCitation":"(18)","previouslyFormattedCitation":"&lt;sup&gt;&lt;b&gt;(17)&lt;/b&gt;&lt;/sup&gt;"},"properties":{"noteIndex":0},"schema":"https://github.com/citation-style-language/schema/raw/master/csl-citation.json"}</w:instrText>
      </w:r>
      <w:r w:rsidRPr="00BF3C0C">
        <w:rPr>
          <w:rFonts w:asciiTheme="majorBidi" w:hAnsiTheme="majorBidi" w:cstheme="majorBidi"/>
          <w:sz w:val="28"/>
          <w:szCs w:val="28"/>
        </w:rPr>
        <w:fldChar w:fldCharType="separate"/>
      </w:r>
      <w:r w:rsidR="00C576C0" w:rsidRPr="00C576C0">
        <w:rPr>
          <w:rFonts w:asciiTheme="majorBidi" w:hAnsiTheme="majorBidi" w:cstheme="majorBidi"/>
          <w:b/>
          <w:noProof/>
          <w:sz w:val="28"/>
          <w:szCs w:val="28"/>
          <w:vertAlign w:val="superscript"/>
        </w:rPr>
        <w:t>(18)</w:t>
      </w:r>
      <w:r w:rsidRPr="00BF3C0C">
        <w:rPr>
          <w:rFonts w:asciiTheme="majorBidi" w:hAnsiTheme="majorBidi" w:cstheme="majorBidi"/>
          <w:sz w:val="28"/>
          <w:szCs w:val="28"/>
        </w:rPr>
        <w:fldChar w:fldCharType="end"/>
      </w:r>
      <w:r w:rsidRPr="00BF3C0C">
        <w:rPr>
          <w:rFonts w:asciiTheme="majorBidi" w:hAnsiTheme="majorBidi" w:cstheme="majorBidi"/>
          <w:sz w:val="28"/>
          <w:szCs w:val="28"/>
          <w:rtl/>
          <w:lang w:bidi="ar-EG"/>
        </w:rPr>
        <w:t xml:space="preserve"> </w:t>
      </w:r>
      <w:r w:rsidRPr="00BF3C0C">
        <w:rPr>
          <w:rFonts w:asciiTheme="majorBidi" w:hAnsiTheme="majorBidi" w:cstheme="majorBidi"/>
          <w:sz w:val="28"/>
          <w:szCs w:val="28"/>
        </w:rPr>
        <w:t xml:space="preserve">and </w:t>
      </w:r>
      <w:r w:rsidRPr="00BF3C0C">
        <w:rPr>
          <w:rFonts w:asciiTheme="majorBidi" w:hAnsiTheme="majorBidi" w:cstheme="majorBidi"/>
          <w:sz w:val="28"/>
          <w:szCs w:val="28"/>
        </w:rPr>
        <w:fldChar w:fldCharType="begin" w:fldLock="1"/>
      </w:r>
      <w:r w:rsidR="00C576C0">
        <w:rPr>
          <w:rFonts w:asciiTheme="majorBidi" w:hAnsiTheme="majorBidi" w:cstheme="majorBidi"/>
          <w:sz w:val="28"/>
          <w:szCs w:val="28"/>
        </w:rPr>
        <w:instrText>ADDIN CSL_CITATION {"citationItems":[{"id":"ITEM-1","itemData":{"DOI":"10.17214/gaziaot.281897","ISSN":"2147-690X","author":[{"dropping-particle":"","family":"Esen","given":"Alparslan","non-dropping-particle":"","parse-names":false,"suffix":""},{"dropping-particle":"","family":"Menziletoğlu","given":"Dilek","non-dropping-particle":"","parse-names":false,"suffix":""},{"dropping-particle":"","family":"Işık","given":"Bozkurt Kubilay","non-dropping-particle":"","parse-names":false,"suffix":""}],"container-title":"Acta Odontologica Turcica","id":"ITEM-1","issued":{"date-parts":[["2016","12","29"]]},"title":"Effect of platelet-rich fibrin in reducing postoperative complications after impacted third molar surgery: a prospective, randomized controlled clinical trial","type":"article-journal"},"uris":["http://www.mendeley.com/documents/?uuid=7575c806-d073-43cc-9b4a-04dd3432feb6"]}],"mendeley":{"formattedCitation":"&lt;sup&gt;&lt;b&gt;(20)&lt;/b&gt;&lt;/sup&gt;","plainTextFormattedCitation":"(20)","previouslyFormattedCitation":"&lt;sup&gt;&lt;b&gt;(19)&lt;/b&gt;&lt;/sup&gt;"},"properties":{"noteIndex":0},"schema":"https://github.com/citation-style-language/schema/raw/master/csl-citation.json"}</w:instrText>
      </w:r>
      <w:r w:rsidRPr="00BF3C0C">
        <w:rPr>
          <w:rFonts w:asciiTheme="majorBidi" w:hAnsiTheme="majorBidi" w:cstheme="majorBidi"/>
          <w:sz w:val="28"/>
          <w:szCs w:val="28"/>
        </w:rPr>
        <w:fldChar w:fldCharType="separate"/>
      </w:r>
      <w:r w:rsidR="00C576C0" w:rsidRPr="00C576C0">
        <w:rPr>
          <w:rFonts w:asciiTheme="majorBidi" w:hAnsiTheme="majorBidi" w:cstheme="majorBidi"/>
          <w:b/>
          <w:noProof/>
          <w:sz w:val="28"/>
          <w:szCs w:val="28"/>
          <w:vertAlign w:val="superscript"/>
        </w:rPr>
        <w:t>(20)</w:t>
      </w:r>
      <w:r w:rsidRPr="00BF3C0C">
        <w:rPr>
          <w:rFonts w:asciiTheme="majorBidi" w:hAnsiTheme="majorBidi" w:cstheme="majorBidi"/>
          <w:sz w:val="28"/>
          <w:szCs w:val="28"/>
        </w:rPr>
        <w:fldChar w:fldCharType="end"/>
      </w:r>
      <w:r w:rsidRPr="00BF3C0C">
        <w:rPr>
          <w:rFonts w:asciiTheme="majorBidi" w:hAnsiTheme="majorBidi" w:cstheme="majorBidi"/>
          <w:sz w:val="28"/>
          <w:szCs w:val="28"/>
        </w:rPr>
        <w:t xml:space="preserve">. In contrast to </w:t>
      </w:r>
      <w:r w:rsidRPr="00BF3C0C">
        <w:rPr>
          <w:rFonts w:asciiTheme="majorBidi" w:hAnsiTheme="majorBidi" w:cstheme="majorBidi"/>
          <w:sz w:val="28"/>
          <w:szCs w:val="28"/>
          <w:vertAlign w:val="superscript"/>
        </w:rPr>
        <w:fldChar w:fldCharType="begin" w:fldLock="1"/>
      </w:r>
      <w:r w:rsidR="00C576C0">
        <w:rPr>
          <w:rFonts w:asciiTheme="majorBidi" w:hAnsiTheme="majorBidi" w:cstheme="majorBidi"/>
          <w:sz w:val="28"/>
          <w:szCs w:val="28"/>
          <w:vertAlign w:val="superscript"/>
        </w:rPr>
        <w:instrText>ADDIN CSL_CITATION {"citationItems":[{"id":"ITEM-1","itemData":{"DOI":"10.1016/j.joms.2014.11.013","ISSN":"02782391","PMID":"25659357","abstract":"PURPOSE To assess the effect of platelet-rich fibrin (PRF) on postoperative pain, swelling, trismus, periodontal healing on the distal aspect of the second molar, and progress of bone regeneration in mandibular third molar extraction sockets. MATERIALS AND METHODS Over a 2-year period, 31 patients (mean age, 26.1 yr) who required surgical extraction of a single impacted third molar and met the inclusion criteria were recruited. After surgical extraction of the third molar, only primary closure was performed in the control group, whereas PRF was placed in the socket followed by primary closure in the case group (16 patients). The outcome variables were pain, swelling, maximum mouth opening, periodontal pocket depth, and bone formation, with a follow-up period of 3 months. Quantitative data are presented as mean. Statistical significance was inferred at a P value less than .05. RESULTS Pain (P = .017), swelling (P = .022), and interincisal distance (P = .040) were less in the case group compared with the control group on the first postoperative day. Periodontal pocket depth decreased at 3 months postoperatively in the case (P &lt; .001) and control (P = .014) groups, and this decrease was statistically significant. Bone density scores at 3 months postoperatively were higher in the case group than in the control group, but this difference was not statistically important. CONCLUSIONS The application of PRF lessens the severity of immediate postoperative sequelae, decreases preoperative pocket depth, and hastens bone formation.","author":[{"dropping-particle":"","family":"Kumar","given":"Nilima","non-dropping-particle":"","parse-names":false,"suffix":""},{"dropping-particle":"","family":"Prasad","given":"Kavitha","non-dropping-particle":"","parse-names":false,"suffix":""},{"dropping-particle":"","family":"Ramanujam","given":"Laitha","non-dropping-particle":"","parse-names":false,"suffix":""},{"dropping-particle":"","family":"K","given":"Ranganath","non-dropping-particle":"","parse-names":false,"suffix":""},{"dropping-particle":"","family":"Dexith","given":"Jayashree","non-dropping-particle":"","parse-names":false,"suffix":""},{"dropping-particle":"","family":"Chauhan","given":"Abhishek","non-dropping-particle":"","parse-names":false,"suffix":""}],"container-title":"Journal of Oral and Maxillofacial Surgery","id":"ITEM-1","issue":"6","issued":{"date-parts":[["2015","6"]]},"page":"1042-1049","title":"Evaluation of Treatment Outcome After Impacted Mandibular Third Molar Surgery With the Use of Autologous Platelet-Rich Fibrin: A Randomized Controlled Clinical Study","type":"article-journal","volume":"73"},"uris":["http://www.mendeley.com/documents/?uuid=4b0ff46d-4048-368a-a016-92a3eaadb012","http://www.mendeley.com/documents/?uuid=9476a3c5-fc32-4d06-9e23-3a0291a96936"]}],"mendeley":{"formattedCitation":"&lt;sup&gt;&lt;b&gt;(21)&lt;/b&gt;&lt;/sup&gt;","plainTextFormattedCitation":"(21)","previouslyFormattedCitation":"&lt;sup&gt;&lt;b&gt;(20)&lt;/b&gt;&lt;/sup&gt;"},"properties":{"noteIndex":0},"schema":"https://github.com/citation-style-language/schema/raw/master/csl-citation.json"}</w:instrText>
      </w:r>
      <w:r w:rsidRPr="00BF3C0C">
        <w:rPr>
          <w:rFonts w:asciiTheme="majorBidi" w:hAnsiTheme="majorBidi" w:cstheme="majorBidi"/>
          <w:sz w:val="28"/>
          <w:szCs w:val="28"/>
          <w:vertAlign w:val="superscript"/>
        </w:rPr>
        <w:fldChar w:fldCharType="separate"/>
      </w:r>
      <w:r w:rsidR="00C576C0" w:rsidRPr="00C576C0">
        <w:rPr>
          <w:rFonts w:asciiTheme="majorBidi" w:hAnsiTheme="majorBidi" w:cstheme="majorBidi"/>
          <w:b/>
          <w:noProof/>
          <w:sz w:val="28"/>
          <w:szCs w:val="28"/>
          <w:vertAlign w:val="superscript"/>
        </w:rPr>
        <w:t>(21)</w:t>
      </w:r>
      <w:r w:rsidRPr="00BF3C0C">
        <w:rPr>
          <w:rFonts w:asciiTheme="majorBidi" w:hAnsiTheme="majorBidi" w:cstheme="majorBidi"/>
          <w:sz w:val="28"/>
          <w:szCs w:val="28"/>
        </w:rPr>
        <w:fldChar w:fldCharType="end"/>
      </w:r>
      <w:r w:rsidRPr="00BF3C0C">
        <w:rPr>
          <w:rFonts w:asciiTheme="majorBidi" w:hAnsiTheme="majorBidi" w:cstheme="majorBidi"/>
          <w:sz w:val="28"/>
          <w:szCs w:val="28"/>
        </w:rPr>
        <w:t xml:space="preserve">, they assessed the effect of PRF on postoperative pain in mandibular third molar extraction sockets and found that the application of PRF decreased the severity of immediate post-operative pain and inflammation. The difference between our study and this one may be because of the fact that the type of incision could affect the degree of wound healing and in consequence the degree of pain. </w:t>
      </w:r>
    </w:p>
    <w:p w14:paraId="2A7DF7F5" w14:textId="5E7BF100" w:rsidR="008050FD" w:rsidRPr="00BF3C0C" w:rsidRDefault="008050FD" w:rsidP="008050FD">
      <w:pPr>
        <w:jc w:val="both"/>
        <w:rPr>
          <w:rFonts w:asciiTheme="majorBidi" w:hAnsiTheme="majorBidi" w:cstheme="majorBidi"/>
          <w:sz w:val="28"/>
          <w:szCs w:val="28"/>
        </w:rPr>
      </w:pPr>
      <w:r w:rsidRPr="00BF3C0C">
        <w:rPr>
          <w:rFonts w:asciiTheme="majorBidi" w:hAnsiTheme="majorBidi" w:cstheme="majorBidi"/>
          <w:sz w:val="28"/>
          <w:szCs w:val="28"/>
        </w:rPr>
        <w:t xml:space="preserve">In this study, the postoperative mouth opening measurements showed a significant difference in some periods and it was obviously decreased on the 2nd day postoperatively due to the pain related to the fracture and due to the spasm of the muscles of mastication. The mouth opening increased significantly with time, but there was no statistically significant difference between both PRF study group and control group which was in agreement with </w:t>
      </w:r>
      <w:r w:rsidRPr="00BF3C0C">
        <w:rPr>
          <w:rFonts w:asciiTheme="majorBidi" w:hAnsiTheme="majorBidi" w:cstheme="majorBidi"/>
          <w:sz w:val="28"/>
          <w:szCs w:val="28"/>
        </w:rPr>
        <w:fldChar w:fldCharType="begin" w:fldLock="1"/>
      </w:r>
      <w:r w:rsidR="00C576C0">
        <w:rPr>
          <w:rFonts w:asciiTheme="majorBidi" w:hAnsiTheme="majorBidi" w:cstheme="majorBidi"/>
          <w:sz w:val="28"/>
          <w:szCs w:val="28"/>
        </w:rPr>
        <w:instrText>ADDIN CSL_CITATION {"citationItems":[{"id":"ITEM-1","itemData":{"DOI":"10.21608/adjalexu.2018.57595","ISSN":"2536-9156","author":[{"dropping-particle":"","family":"Rayess","given":"Amany M.","non-dropping-particle":"Al","parse-names":false,"suffix":""},{"dropping-particle":"","family":"Dibany","given":"Mostafa M.","non-dropping-particle":"El","parse-names":false,"suffix":""},{"dropping-particle":"","family":"Melek","given":"Lydia N.","non-dropping-particle":"","parse-names":false,"suffix":""}],"container-title":"Alexandria Dental Journal","id":"ITEM-1","issue":"1","issued":{"date-parts":[["2018","4","1"]]},"page":"41-47","title":"Clinical and radiographic study of healing of mandibular fractures using plasma rich fibrin membrane with miniplate fixation","type":"article-journal","volume":"43"},"uris":["http://www.mendeley.com/documents/?uuid=269f8ac9-cc07-49d4-85b0-810a3d06d1f1"]}],"mendeley":{"formattedCitation":"&lt;sup&gt;&lt;b&gt;(18)&lt;/b&gt;&lt;/sup&gt;","plainTextFormattedCitation":"(18)","previouslyFormattedCitation":"&lt;sup&gt;&lt;b&gt;(17)&lt;/b&gt;&lt;/sup&gt;"},"properties":{"noteIndex":0},"schema":"https://github.com/citation-style-language/schema/raw/master/csl-citation.json"}</w:instrText>
      </w:r>
      <w:r w:rsidRPr="00BF3C0C">
        <w:rPr>
          <w:rFonts w:asciiTheme="majorBidi" w:hAnsiTheme="majorBidi" w:cstheme="majorBidi"/>
          <w:sz w:val="28"/>
          <w:szCs w:val="28"/>
        </w:rPr>
        <w:fldChar w:fldCharType="separate"/>
      </w:r>
      <w:r w:rsidR="00C576C0" w:rsidRPr="00C576C0">
        <w:rPr>
          <w:rFonts w:asciiTheme="majorBidi" w:hAnsiTheme="majorBidi" w:cstheme="majorBidi"/>
          <w:b/>
          <w:noProof/>
          <w:sz w:val="28"/>
          <w:szCs w:val="28"/>
          <w:vertAlign w:val="superscript"/>
        </w:rPr>
        <w:t>(18)</w:t>
      </w:r>
      <w:r w:rsidRPr="00BF3C0C">
        <w:rPr>
          <w:rFonts w:asciiTheme="majorBidi" w:hAnsiTheme="majorBidi" w:cstheme="majorBidi"/>
          <w:sz w:val="28"/>
          <w:szCs w:val="28"/>
        </w:rPr>
        <w:fldChar w:fldCharType="end"/>
      </w:r>
      <w:r w:rsidRPr="00BF3C0C">
        <w:rPr>
          <w:rFonts w:asciiTheme="majorBidi" w:hAnsiTheme="majorBidi" w:cstheme="majorBidi"/>
          <w:sz w:val="28"/>
          <w:szCs w:val="28"/>
        </w:rPr>
        <w:t xml:space="preserve">, </w:t>
      </w:r>
      <w:r w:rsidRPr="00BF3C0C">
        <w:rPr>
          <w:rFonts w:asciiTheme="majorBidi" w:hAnsiTheme="majorBidi" w:cstheme="majorBidi"/>
          <w:sz w:val="28"/>
          <w:szCs w:val="28"/>
        </w:rPr>
        <w:fldChar w:fldCharType="begin" w:fldLock="1"/>
      </w:r>
      <w:r w:rsidR="00C576C0">
        <w:rPr>
          <w:rFonts w:asciiTheme="majorBidi" w:hAnsiTheme="majorBidi" w:cstheme="majorBidi"/>
          <w:sz w:val="28"/>
          <w:szCs w:val="28"/>
        </w:rPr>
        <w:instrText>ADDIN CSL_CITATION {"citationItems":[{"id":"ITEM-1","itemData":{"DOI":"10.17214/gaziaot.281897","ISSN":"2147-690X","author":[{"dropping-particle":"","family":"Esen","given":"Alparslan","non-dropping-particle":"","parse-names":false,"suffix":""},{"dropping-particle":"","family":"Menziletoğlu","given":"Dilek","non-dropping-particle":"","parse-names":false,"suffix":""},{"dropping-particle":"","family":"Işık","given":"Bozkurt Kubilay","non-dropping-particle":"","parse-names":false,"suffix":""}],"container-title":"Acta Odontologica Turcica","id":"ITEM-1","issued":{"date-parts":[["2016","12","29"]]},"title":"Effect of platelet-rich fibrin in reducing postoperative complications after impacted third molar surgery: a prospective, randomized controlled clinical trial","type":"article-journal"},"uris":["http://www.mendeley.com/documents/?uuid=7575c806-d073-43cc-9b4a-04dd3432feb6"]}],"mendeley":{"formattedCitation":"&lt;sup&gt;&lt;b&gt;(20)&lt;/b&gt;&lt;/sup&gt;","plainTextFormattedCitation":"(20)","previouslyFormattedCitation":"&lt;sup&gt;&lt;b&gt;(19)&lt;/b&gt;&lt;/sup&gt;"},"properties":{"noteIndex":0},"schema":"https://github.com/citation-style-language/schema/raw/master/csl-citation.json"}</w:instrText>
      </w:r>
      <w:r w:rsidRPr="00BF3C0C">
        <w:rPr>
          <w:rFonts w:asciiTheme="majorBidi" w:hAnsiTheme="majorBidi" w:cstheme="majorBidi"/>
          <w:sz w:val="28"/>
          <w:szCs w:val="28"/>
        </w:rPr>
        <w:fldChar w:fldCharType="separate"/>
      </w:r>
      <w:r w:rsidR="00C576C0" w:rsidRPr="00C576C0">
        <w:rPr>
          <w:rFonts w:asciiTheme="majorBidi" w:hAnsiTheme="majorBidi" w:cstheme="majorBidi"/>
          <w:b/>
          <w:noProof/>
          <w:sz w:val="28"/>
          <w:szCs w:val="28"/>
          <w:vertAlign w:val="superscript"/>
        </w:rPr>
        <w:t>(20)</w:t>
      </w:r>
      <w:r w:rsidRPr="00BF3C0C">
        <w:rPr>
          <w:rFonts w:asciiTheme="majorBidi" w:hAnsiTheme="majorBidi" w:cstheme="majorBidi"/>
          <w:sz w:val="28"/>
          <w:szCs w:val="28"/>
        </w:rPr>
        <w:fldChar w:fldCharType="end"/>
      </w:r>
      <w:r w:rsidRPr="00BF3C0C">
        <w:rPr>
          <w:rFonts w:asciiTheme="majorBidi" w:hAnsiTheme="majorBidi" w:cstheme="majorBidi"/>
          <w:sz w:val="28"/>
          <w:szCs w:val="28"/>
        </w:rPr>
        <w:t xml:space="preserve">. In contrast to </w:t>
      </w:r>
      <w:r w:rsidRPr="00BF3C0C">
        <w:rPr>
          <w:rFonts w:asciiTheme="majorBidi" w:hAnsiTheme="majorBidi" w:cstheme="majorBidi"/>
          <w:sz w:val="28"/>
          <w:szCs w:val="28"/>
        </w:rPr>
        <w:fldChar w:fldCharType="begin" w:fldLock="1"/>
      </w:r>
      <w:r w:rsidR="00C576C0">
        <w:rPr>
          <w:rFonts w:asciiTheme="majorBidi" w:hAnsiTheme="majorBidi" w:cstheme="majorBidi"/>
          <w:sz w:val="28"/>
          <w:szCs w:val="28"/>
        </w:rPr>
        <w:instrText>ADDIN CSL_CITATION {"citationItems":[{"id":"ITEM-1","itemData":{"DOI":"10.1016/j.joms.2014.11.013","ISSN":"02782391","PMID":"25659357","abstract":"PURPOSE To assess the effect of platelet-rich fibrin (PRF) on postoperative pain, swelling, trismus, periodontal healing on the distal aspect of the second molar, and progress of bone regeneration in mandibular third molar extraction sockets. MATERIALS AND METHODS Over a 2-year period, 31 patients (mean age, 26.1 yr) who required surgical extraction of a single impacted third molar and met the inclusion criteria were recruited. After surgical extraction of the third molar, only primary closure was performed in the control group, whereas PRF was placed in the socket followed by primary closure in the case group (16 patients). The outcome variables were pain, swelling, maximum mouth opening, periodontal pocket depth, and bone formation, with a follow-up period of 3 months. Quantitative data are presented as mean. Statistical significance was inferred at a P value less than .05. RESULTS Pain (P = .017), swelling (P = .022), and interincisal distance (P = .040) were less in the case group compared with the control group on the first postoperative day. Periodontal pocket depth decreased at 3 months postoperatively in the case (P &lt; .001) and control (P = .014) groups, and this decrease was statistically significant. Bone density scores at 3 months postoperatively were higher in the case group than in the control group, but this difference was not statistically important. CONCLUSIONS The application of PRF lessens the severity of immediate postoperative sequelae, decreases preoperative pocket depth, and hastens bone formation.","author":[{"dropping-particle":"","family":"Kumar","given":"Nilima","non-dropping-particle":"","parse-names":false,"suffix":""},{"dropping-particle":"","family":"Prasad","given":"Kavitha","non-dropping-particle":"","parse-names":false,"suffix":""},{"dropping-particle":"","family":"Ramanujam","given":"Laitha","non-dropping-particle":"","parse-names":false,"suffix":""},{"dropping-particle":"","family":"K","given":"Ranganath","non-dropping-particle":"","parse-names":false,"suffix":""},{"dropping-particle":"","family":"Dexith","given":"Jayashree","non-dropping-particle":"","parse-names":false,"suffix":""},{"dropping-particle":"","family":"Chauhan","given":"Abhishek","non-dropping-particle":"","parse-names":false,"suffix":""}],"container-title":"Journal of Oral and Maxillofacial Surgery","id":"ITEM-1","issue":"6","issued":{"date-parts":[["2015","6"]]},"page":"1042-1049","title":"Evaluation of Treatment Outcome After Impacted Mandibular Third Molar Surgery With the Use of Autologous Platelet-Rich Fibrin: A Randomized Controlled Clinical Study","type":"article-journal","volume":"73"},"uris":["http://www.mendeley.com/documents/?uuid=9476a3c5-fc32-4d06-9e23-3a0291a96936"]}],"mendeley":{"formattedCitation":"&lt;sup&gt;&lt;b&gt;(21)&lt;/b&gt;&lt;/sup&gt;","plainTextFormattedCitation":"(21)","previouslyFormattedCitation":"&lt;sup&gt;&lt;b&gt;(20)&lt;/b&gt;&lt;/sup&gt;"},"properties":{"noteIndex":0},"schema":"https://github.com/citation-style-language/schema/raw/master/csl-citation.json"}</w:instrText>
      </w:r>
      <w:r w:rsidRPr="00BF3C0C">
        <w:rPr>
          <w:rFonts w:asciiTheme="majorBidi" w:hAnsiTheme="majorBidi" w:cstheme="majorBidi"/>
          <w:sz w:val="28"/>
          <w:szCs w:val="28"/>
        </w:rPr>
        <w:fldChar w:fldCharType="separate"/>
      </w:r>
      <w:r w:rsidR="00C576C0" w:rsidRPr="00C576C0">
        <w:rPr>
          <w:rFonts w:asciiTheme="majorBidi" w:hAnsiTheme="majorBidi" w:cstheme="majorBidi"/>
          <w:b/>
          <w:noProof/>
          <w:sz w:val="28"/>
          <w:szCs w:val="28"/>
          <w:vertAlign w:val="superscript"/>
        </w:rPr>
        <w:t>(21)</w:t>
      </w:r>
      <w:r w:rsidRPr="00BF3C0C">
        <w:rPr>
          <w:rFonts w:asciiTheme="majorBidi" w:hAnsiTheme="majorBidi" w:cstheme="majorBidi"/>
          <w:sz w:val="28"/>
          <w:szCs w:val="28"/>
        </w:rPr>
        <w:fldChar w:fldCharType="end"/>
      </w:r>
      <w:r w:rsidRPr="00BF3C0C">
        <w:rPr>
          <w:rFonts w:asciiTheme="majorBidi" w:hAnsiTheme="majorBidi" w:cstheme="majorBidi"/>
          <w:sz w:val="28"/>
          <w:szCs w:val="28"/>
        </w:rPr>
        <w:t xml:space="preserve">, they assessed the effect of PRF on post-operative trismus after mandibular third molar extraction sockets, on the first post-operative day, it was 33.00±1.59 in the Case group and 31.07±3.19 mm in the Control group and this difference between the two groups was statistically significant indicating that the use of PRF influenced the degree of restriction of mouth opening, but it was another procedure different than our study. </w:t>
      </w:r>
    </w:p>
    <w:bookmarkEnd w:id="4"/>
    <w:p w14:paraId="3D9E4E2B" w14:textId="77777777" w:rsidR="008050FD" w:rsidRPr="000B16D9" w:rsidRDefault="008050FD" w:rsidP="008050FD">
      <w:pPr>
        <w:spacing w:before="90" w:after="90"/>
        <w:jc w:val="both"/>
        <w:rPr>
          <w:rFonts w:asciiTheme="majorBidi" w:hAnsiTheme="majorBidi" w:cstheme="majorBidi"/>
          <w:sz w:val="32"/>
          <w:szCs w:val="32"/>
        </w:rPr>
      </w:pPr>
      <w:r w:rsidRPr="000B16D9">
        <w:rPr>
          <w:rFonts w:asciiTheme="majorBidi" w:hAnsiTheme="majorBidi" w:cstheme="majorBidi"/>
          <w:b/>
          <w:bCs/>
          <w:sz w:val="32"/>
          <w:szCs w:val="32"/>
        </w:rPr>
        <w:t>Conclusion</w:t>
      </w:r>
    </w:p>
    <w:p w14:paraId="7D298B21" w14:textId="77777777" w:rsidR="008050FD" w:rsidRPr="00BF3C0C" w:rsidRDefault="008050FD" w:rsidP="008050FD">
      <w:pPr>
        <w:spacing w:before="90" w:after="90"/>
        <w:jc w:val="both"/>
        <w:rPr>
          <w:rFonts w:asciiTheme="majorBidi" w:hAnsiTheme="majorBidi" w:cstheme="majorBidi"/>
          <w:sz w:val="28"/>
          <w:szCs w:val="28"/>
        </w:rPr>
      </w:pPr>
      <w:r w:rsidRPr="00BF3C0C">
        <w:rPr>
          <w:rFonts w:asciiTheme="majorBidi" w:hAnsiTheme="majorBidi" w:cstheme="majorBidi"/>
          <w:sz w:val="28"/>
          <w:szCs w:val="28"/>
        </w:rPr>
        <w:t>PRF application on the fracture line in the mandible may be helpful in improvement of the fracture healing.</w:t>
      </w:r>
    </w:p>
    <w:p w14:paraId="3DCB6414" w14:textId="77777777" w:rsidR="008050FD" w:rsidRPr="000B16D9" w:rsidRDefault="008050FD" w:rsidP="008050FD">
      <w:pPr>
        <w:spacing w:before="90" w:after="90"/>
        <w:jc w:val="both"/>
        <w:rPr>
          <w:rFonts w:asciiTheme="majorBidi" w:hAnsiTheme="majorBidi" w:cstheme="majorBidi"/>
          <w:b/>
          <w:bCs/>
          <w:sz w:val="32"/>
          <w:szCs w:val="32"/>
        </w:rPr>
      </w:pPr>
      <w:r w:rsidRPr="000B16D9">
        <w:rPr>
          <w:rFonts w:asciiTheme="majorBidi" w:hAnsiTheme="majorBidi" w:cstheme="majorBidi"/>
          <w:b/>
          <w:bCs/>
          <w:sz w:val="32"/>
          <w:szCs w:val="32"/>
        </w:rPr>
        <w:t xml:space="preserve">Conflict of interest </w:t>
      </w:r>
    </w:p>
    <w:p w14:paraId="3ECB2D1B" w14:textId="77777777" w:rsidR="008050FD" w:rsidRPr="00BF3C0C" w:rsidRDefault="008050FD" w:rsidP="008050FD">
      <w:pPr>
        <w:spacing w:before="90" w:after="90"/>
        <w:jc w:val="both"/>
        <w:rPr>
          <w:rFonts w:ascii="Times New Roman" w:hAnsi="Times New Roman" w:cs="Times New Roman"/>
          <w:sz w:val="28"/>
          <w:szCs w:val="28"/>
        </w:rPr>
      </w:pPr>
      <w:r w:rsidRPr="00BF3C0C">
        <w:rPr>
          <w:rFonts w:asciiTheme="majorBidi" w:hAnsiTheme="majorBidi" w:cstheme="majorBidi"/>
          <w:sz w:val="28"/>
          <w:szCs w:val="28"/>
        </w:rPr>
        <w:t>The authors declare that they have no conflicts of interest.</w:t>
      </w:r>
    </w:p>
    <w:p w14:paraId="138E367C" w14:textId="77777777" w:rsidR="008050FD" w:rsidRPr="000B16D9" w:rsidRDefault="008050FD" w:rsidP="008050FD">
      <w:pPr>
        <w:spacing w:before="90" w:after="90"/>
        <w:jc w:val="both"/>
        <w:rPr>
          <w:rFonts w:ascii="Times New Roman" w:hAnsi="Times New Roman" w:cs="Times New Roman"/>
          <w:sz w:val="32"/>
          <w:szCs w:val="32"/>
        </w:rPr>
      </w:pPr>
      <w:r w:rsidRPr="000B16D9">
        <w:rPr>
          <w:rFonts w:ascii="Times New Roman" w:hAnsi="Times New Roman" w:cs="Times New Roman"/>
          <w:b/>
          <w:bCs/>
          <w:sz w:val="32"/>
          <w:szCs w:val="32"/>
        </w:rPr>
        <w:t>References</w:t>
      </w:r>
    </w:p>
    <w:p w14:paraId="16A9E320" w14:textId="1A58A39E" w:rsidR="00C576C0" w:rsidRPr="00C576C0" w:rsidRDefault="008050FD" w:rsidP="00C576C0">
      <w:pPr>
        <w:widowControl w:val="0"/>
        <w:autoSpaceDE w:val="0"/>
        <w:autoSpaceDN w:val="0"/>
        <w:adjustRightInd w:val="0"/>
        <w:spacing w:before="80" w:after="80"/>
        <w:ind w:left="640" w:hanging="640"/>
        <w:rPr>
          <w:rFonts w:ascii="Times New Roman" w:hAnsi="Times New Roman" w:cs="Times New Roman"/>
          <w:noProof/>
          <w:sz w:val="28"/>
        </w:rPr>
      </w:pPr>
      <w:r w:rsidRPr="00BF3C0C">
        <w:rPr>
          <w:rFonts w:ascii="Times New Roman" w:hAnsi="Times New Roman" w:cs="Times New Roman"/>
          <w:sz w:val="28"/>
          <w:szCs w:val="28"/>
        </w:rPr>
        <w:fldChar w:fldCharType="begin" w:fldLock="1"/>
      </w:r>
      <w:r w:rsidRPr="00BF3C0C">
        <w:rPr>
          <w:rFonts w:ascii="Times New Roman" w:hAnsi="Times New Roman" w:cs="Times New Roman"/>
          <w:sz w:val="28"/>
          <w:szCs w:val="28"/>
        </w:rPr>
        <w:instrText xml:space="preserve">ADDIN Mendeley Bibliography CSL_BIBLIOGRAPHY </w:instrText>
      </w:r>
      <w:r w:rsidRPr="00BF3C0C">
        <w:rPr>
          <w:rFonts w:ascii="Times New Roman" w:hAnsi="Times New Roman" w:cs="Times New Roman"/>
          <w:sz w:val="28"/>
          <w:szCs w:val="28"/>
        </w:rPr>
        <w:fldChar w:fldCharType="separate"/>
      </w:r>
      <w:r w:rsidR="00C576C0" w:rsidRPr="00C576C0">
        <w:rPr>
          <w:rFonts w:ascii="Times New Roman" w:hAnsi="Times New Roman" w:cs="Times New Roman"/>
          <w:noProof/>
          <w:sz w:val="28"/>
        </w:rPr>
        <w:t xml:space="preserve">1. </w:t>
      </w:r>
      <w:r w:rsidR="00C576C0" w:rsidRPr="00C576C0">
        <w:rPr>
          <w:rFonts w:ascii="Times New Roman" w:hAnsi="Times New Roman" w:cs="Times New Roman"/>
          <w:noProof/>
          <w:sz w:val="28"/>
        </w:rPr>
        <w:tab/>
      </w:r>
      <w:r w:rsidR="00C576C0" w:rsidRPr="00C576C0">
        <w:rPr>
          <w:rFonts w:ascii="Times New Roman" w:hAnsi="Times New Roman" w:cs="Times New Roman"/>
          <w:b/>
          <w:bCs/>
          <w:i/>
          <w:iCs/>
          <w:noProof/>
          <w:sz w:val="28"/>
        </w:rPr>
        <w:t>Pickrell BB, Hollier LH</w:t>
      </w:r>
      <w:r w:rsidR="00C576C0" w:rsidRPr="00C576C0">
        <w:rPr>
          <w:rFonts w:ascii="Times New Roman" w:hAnsi="Times New Roman" w:cs="Times New Roman"/>
          <w:noProof/>
          <w:sz w:val="28"/>
        </w:rPr>
        <w:t xml:space="preserve">. Evidence-Based Medicine: Mandible Fractures. </w:t>
      </w:r>
      <w:r w:rsidR="00C576C0" w:rsidRPr="00C576C0">
        <w:rPr>
          <w:rFonts w:ascii="Times New Roman" w:hAnsi="Times New Roman" w:cs="Times New Roman"/>
          <w:i/>
          <w:iCs/>
          <w:noProof/>
          <w:sz w:val="28"/>
        </w:rPr>
        <w:t>Plast Reconstr Surg</w:t>
      </w:r>
      <w:r w:rsidR="00C576C0" w:rsidRPr="00C576C0">
        <w:rPr>
          <w:rFonts w:ascii="Times New Roman" w:hAnsi="Times New Roman" w:cs="Times New Roman"/>
          <w:noProof/>
          <w:sz w:val="28"/>
        </w:rPr>
        <w:t>. 2017;140(1):192-200.</w:t>
      </w:r>
    </w:p>
    <w:p w14:paraId="0E7B047E" w14:textId="77777777" w:rsidR="00C576C0" w:rsidRPr="00C576C0" w:rsidRDefault="00C576C0" w:rsidP="00C576C0">
      <w:pPr>
        <w:widowControl w:val="0"/>
        <w:autoSpaceDE w:val="0"/>
        <w:autoSpaceDN w:val="0"/>
        <w:adjustRightInd w:val="0"/>
        <w:spacing w:before="80" w:after="80"/>
        <w:ind w:left="640" w:hanging="640"/>
        <w:rPr>
          <w:rFonts w:ascii="Times New Roman" w:hAnsi="Times New Roman" w:cs="Times New Roman"/>
          <w:noProof/>
          <w:sz w:val="28"/>
        </w:rPr>
      </w:pPr>
      <w:r w:rsidRPr="00C576C0">
        <w:rPr>
          <w:rFonts w:ascii="Times New Roman" w:hAnsi="Times New Roman" w:cs="Times New Roman"/>
          <w:noProof/>
          <w:sz w:val="28"/>
        </w:rPr>
        <w:t xml:space="preserve">2. </w:t>
      </w:r>
      <w:r w:rsidRPr="00C576C0">
        <w:rPr>
          <w:rFonts w:ascii="Times New Roman" w:hAnsi="Times New Roman" w:cs="Times New Roman"/>
          <w:noProof/>
          <w:sz w:val="28"/>
        </w:rPr>
        <w:tab/>
      </w:r>
      <w:r w:rsidRPr="00C576C0">
        <w:rPr>
          <w:rFonts w:ascii="Times New Roman" w:hAnsi="Times New Roman" w:cs="Times New Roman"/>
          <w:b/>
          <w:bCs/>
          <w:i/>
          <w:iCs/>
          <w:noProof/>
          <w:sz w:val="28"/>
        </w:rPr>
        <w:t>Elsisy M, Elhamshary A, Haroon YM, Sallam S</w:t>
      </w:r>
      <w:r w:rsidRPr="00C576C0">
        <w:rPr>
          <w:rFonts w:ascii="Times New Roman" w:hAnsi="Times New Roman" w:cs="Times New Roman"/>
          <w:noProof/>
          <w:sz w:val="28"/>
        </w:rPr>
        <w:t xml:space="preserve">. Effect of chitosan on bone restoration in nasal bone defect: An experimental study. </w:t>
      </w:r>
      <w:r w:rsidRPr="00C576C0">
        <w:rPr>
          <w:rFonts w:ascii="Times New Roman" w:hAnsi="Times New Roman" w:cs="Times New Roman"/>
          <w:i/>
          <w:iCs/>
          <w:noProof/>
          <w:sz w:val="28"/>
        </w:rPr>
        <w:t>Egypt J Otolaryngol</w:t>
      </w:r>
      <w:r w:rsidRPr="00C576C0">
        <w:rPr>
          <w:rFonts w:ascii="Times New Roman" w:hAnsi="Times New Roman" w:cs="Times New Roman"/>
          <w:noProof/>
          <w:sz w:val="28"/>
        </w:rPr>
        <w:t>. 2014;30(2):94-101.</w:t>
      </w:r>
    </w:p>
    <w:p w14:paraId="2067FC4A" w14:textId="77777777" w:rsidR="00C576C0" w:rsidRPr="00C576C0" w:rsidRDefault="00C576C0" w:rsidP="00C576C0">
      <w:pPr>
        <w:widowControl w:val="0"/>
        <w:autoSpaceDE w:val="0"/>
        <w:autoSpaceDN w:val="0"/>
        <w:adjustRightInd w:val="0"/>
        <w:spacing w:before="80" w:after="80"/>
        <w:ind w:left="640" w:hanging="640"/>
        <w:rPr>
          <w:rFonts w:ascii="Times New Roman" w:hAnsi="Times New Roman" w:cs="Times New Roman"/>
          <w:noProof/>
          <w:sz w:val="28"/>
        </w:rPr>
      </w:pPr>
      <w:r w:rsidRPr="00C576C0">
        <w:rPr>
          <w:rFonts w:ascii="Times New Roman" w:hAnsi="Times New Roman" w:cs="Times New Roman"/>
          <w:noProof/>
          <w:sz w:val="28"/>
        </w:rPr>
        <w:t xml:space="preserve">3. </w:t>
      </w:r>
      <w:r w:rsidRPr="00C576C0">
        <w:rPr>
          <w:rFonts w:ascii="Times New Roman" w:hAnsi="Times New Roman" w:cs="Times New Roman"/>
          <w:noProof/>
          <w:sz w:val="28"/>
        </w:rPr>
        <w:tab/>
      </w:r>
      <w:r w:rsidRPr="00C576C0">
        <w:rPr>
          <w:rFonts w:ascii="Times New Roman" w:hAnsi="Times New Roman" w:cs="Times New Roman"/>
          <w:b/>
          <w:bCs/>
          <w:i/>
          <w:iCs/>
          <w:noProof/>
          <w:sz w:val="28"/>
        </w:rPr>
        <w:t>Lauritano D, Avantaggiato A, Candotto V, Zollino I, Carinci F</w:t>
      </w:r>
      <w:r w:rsidRPr="00C576C0">
        <w:rPr>
          <w:rFonts w:ascii="Times New Roman" w:hAnsi="Times New Roman" w:cs="Times New Roman"/>
          <w:noProof/>
          <w:sz w:val="28"/>
        </w:rPr>
        <w:t xml:space="preserve">. Is platelet-rich fibrin really useful in oral and maxillofacial surgery? Lights and shadows of this new technique. </w:t>
      </w:r>
      <w:r w:rsidRPr="00C576C0">
        <w:rPr>
          <w:rFonts w:ascii="Times New Roman" w:hAnsi="Times New Roman" w:cs="Times New Roman"/>
          <w:i/>
          <w:iCs/>
          <w:noProof/>
          <w:sz w:val="28"/>
        </w:rPr>
        <w:t>Ann Oral Maxillofac Surg</w:t>
      </w:r>
      <w:r w:rsidRPr="00C576C0">
        <w:rPr>
          <w:rFonts w:ascii="Times New Roman" w:hAnsi="Times New Roman" w:cs="Times New Roman"/>
          <w:noProof/>
          <w:sz w:val="28"/>
        </w:rPr>
        <w:t>. 2013;1(3):1-5.</w:t>
      </w:r>
    </w:p>
    <w:p w14:paraId="5046644B" w14:textId="4063317C" w:rsidR="00C576C0" w:rsidRPr="00C576C0" w:rsidRDefault="00C576C0" w:rsidP="00C65D65">
      <w:pPr>
        <w:widowControl w:val="0"/>
        <w:autoSpaceDE w:val="0"/>
        <w:autoSpaceDN w:val="0"/>
        <w:adjustRightInd w:val="0"/>
        <w:spacing w:before="80" w:after="80"/>
        <w:ind w:left="640" w:hanging="640"/>
        <w:rPr>
          <w:rFonts w:ascii="Times New Roman" w:hAnsi="Times New Roman" w:cs="Times New Roman"/>
          <w:noProof/>
          <w:sz w:val="28"/>
        </w:rPr>
      </w:pPr>
      <w:r w:rsidRPr="00C576C0">
        <w:rPr>
          <w:rFonts w:ascii="Times New Roman" w:hAnsi="Times New Roman" w:cs="Times New Roman"/>
          <w:noProof/>
          <w:sz w:val="28"/>
        </w:rPr>
        <w:t xml:space="preserve">4. </w:t>
      </w:r>
      <w:r w:rsidRPr="00C576C0">
        <w:rPr>
          <w:rFonts w:ascii="Times New Roman" w:hAnsi="Times New Roman" w:cs="Times New Roman"/>
          <w:noProof/>
          <w:sz w:val="28"/>
        </w:rPr>
        <w:tab/>
      </w:r>
      <w:r w:rsidR="00C65D65" w:rsidRPr="00C65D65">
        <w:rPr>
          <w:rFonts w:ascii="Times New Roman" w:hAnsi="Times New Roman" w:cs="Times New Roman"/>
          <w:b/>
          <w:bCs/>
          <w:i/>
          <w:iCs/>
          <w:noProof/>
          <w:sz w:val="28"/>
        </w:rPr>
        <w:t xml:space="preserve">Dohan, D. M., Choukroun, J., Diss, A., Dohan, S. L., Dohan, A. J. J., Mouhyi, J., &amp; Gogly, B. (2006a). </w:t>
      </w:r>
      <w:r w:rsidR="00C65D65" w:rsidRPr="00C65D65">
        <w:rPr>
          <w:rFonts w:ascii="Times New Roman" w:hAnsi="Times New Roman" w:cs="Times New Roman"/>
          <w:noProof/>
          <w:sz w:val="28"/>
        </w:rPr>
        <w:t>Platelet-rich fibrin (PRF): a second-generation platelet concentrate. Part I: technological concepts and evolution. Oral surgery, oral medicine, oral pathology, oral radiology, and endodontics, 101(3), 37-44.</w:t>
      </w:r>
    </w:p>
    <w:p w14:paraId="3782810A" w14:textId="215CAE27" w:rsidR="00C576C0" w:rsidRPr="00C65D65" w:rsidRDefault="00C576C0" w:rsidP="00C65D65">
      <w:pPr>
        <w:widowControl w:val="0"/>
        <w:autoSpaceDE w:val="0"/>
        <w:autoSpaceDN w:val="0"/>
        <w:adjustRightInd w:val="0"/>
        <w:spacing w:before="80" w:after="80"/>
        <w:ind w:left="640" w:hanging="640"/>
        <w:rPr>
          <w:rFonts w:ascii="Times New Roman" w:hAnsi="Times New Roman" w:cs="Times New Roman"/>
          <w:noProof/>
          <w:sz w:val="28"/>
        </w:rPr>
      </w:pPr>
      <w:r w:rsidRPr="00C576C0">
        <w:rPr>
          <w:rFonts w:ascii="Times New Roman" w:hAnsi="Times New Roman" w:cs="Times New Roman"/>
          <w:noProof/>
          <w:sz w:val="28"/>
        </w:rPr>
        <w:t xml:space="preserve">5. </w:t>
      </w:r>
      <w:r w:rsidRPr="00C576C0">
        <w:rPr>
          <w:rFonts w:ascii="Times New Roman" w:hAnsi="Times New Roman" w:cs="Times New Roman"/>
          <w:noProof/>
          <w:sz w:val="28"/>
        </w:rPr>
        <w:tab/>
      </w:r>
      <w:r w:rsidR="00C65D65" w:rsidRPr="00C65D65">
        <w:rPr>
          <w:rFonts w:ascii="Times New Roman" w:hAnsi="Times New Roman" w:cs="Times New Roman"/>
          <w:b/>
          <w:bCs/>
          <w:i/>
          <w:iCs/>
          <w:noProof/>
          <w:sz w:val="28"/>
        </w:rPr>
        <w:t xml:space="preserve">Dohan, D. M., Choukroun, J., Diss, A., Dohan, S. L., Dohan, A. J. J., Mouhyi, J., &amp; Gogly, B. (2006d). </w:t>
      </w:r>
      <w:r w:rsidR="00C65D65" w:rsidRPr="00C65D65">
        <w:rPr>
          <w:rFonts w:ascii="Times New Roman" w:hAnsi="Times New Roman" w:cs="Times New Roman"/>
          <w:noProof/>
          <w:sz w:val="28"/>
        </w:rPr>
        <w:t>Platelet-rich fibrin (PRF): a second-</w:t>
      </w:r>
      <w:r w:rsidR="00C65D65" w:rsidRPr="00C65D65">
        <w:rPr>
          <w:rFonts w:ascii="Times New Roman" w:hAnsi="Times New Roman" w:cs="Times New Roman"/>
          <w:noProof/>
          <w:sz w:val="28"/>
        </w:rPr>
        <w:lastRenderedPageBreak/>
        <w:t>generation platelet concentrate. Part IV: clinical effects on tissue healing.</w:t>
      </w:r>
      <w:r w:rsidR="00C65D65">
        <w:rPr>
          <w:rFonts w:ascii="Times New Roman" w:hAnsi="Times New Roman" w:cs="Times New Roman"/>
          <w:noProof/>
          <w:sz w:val="28"/>
        </w:rPr>
        <w:t xml:space="preserve"> </w:t>
      </w:r>
      <w:r w:rsidR="00C65D65" w:rsidRPr="00C65D65">
        <w:rPr>
          <w:rFonts w:ascii="Times New Roman" w:hAnsi="Times New Roman" w:cs="Times New Roman"/>
          <w:noProof/>
          <w:sz w:val="28"/>
        </w:rPr>
        <w:t>Oral surgery, oral medicine, oral pathology, oral radiology, and endodontics, 101(3), 56-60.</w:t>
      </w:r>
    </w:p>
    <w:p w14:paraId="249D36C6" w14:textId="074A344A" w:rsidR="00C576C0" w:rsidRPr="00C576C0" w:rsidRDefault="00C576C0" w:rsidP="00C65D65">
      <w:pPr>
        <w:widowControl w:val="0"/>
        <w:autoSpaceDE w:val="0"/>
        <w:autoSpaceDN w:val="0"/>
        <w:adjustRightInd w:val="0"/>
        <w:spacing w:before="80" w:after="80"/>
        <w:ind w:left="640" w:hanging="640"/>
        <w:rPr>
          <w:rFonts w:ascii="Times New Roman" w:hAnsi="Times New Roman" w:cs="Times New Roman"/>
          <w:noProof/>
          <w:sz w:val="28"/>
        </w:rPr>
      </w:pPr>
      <w:r w:rsidRPr="00C576C0">
        <w:rPr>
          <w:rFonts w:ascii="Times New Roman" w:hAnsi="Times New Roman" w:cs="Times New Roman"/>
          <w:noProof/>
          <w:sz w:val="28"/>
        </w:rPr>
        <w:t xml:space="preserve">6. </w:t>
      </w:r>
      <w:r w:rsidRPr="00C576C0">
        <w:rPr>
          <w:rFonts w:ascii="Times New Roman" w:hAnsi="Times New Roman" w:cs="Times New Roman"/>
          <w:noProof/>
          <w:sz w:val="28"/>
        </w:rPr>
        <w:tab/>
      </w:r>
      <w:r w:rsidR="00C65D65" w:rsidRPr="00C65D65">
        <w:rPr>
          <w:rFonts w:ascii="Times New Roman" w:hAnsi="Times New Roman" w:cs="Times New Roman"/>
          <w:b/>
          <w:bCs/>
          <w:i/>
          <w:iCs/>
          <w:noProof/>
          <w:sz w:val="28"/>
        </w:rPr>
        <w:t xml:space="preserve">Dohan, D. M., Choukroun, J., Diss, A., Dohan, S. L., Dohan, A. J. J., Mouhyi, J., &amp; Gogly, B. (2006b). </w:t>
      </w:r>
      <w:r w:rsidR="00C65D65" w:rsidRPr="00C65D65">
        <w:rPr>
          <w:rFonts w:ascii="Times New Roman" w:hAnsi="Times New Roman" w:cs="Times New Roman"/>
          <w:noProof/>
          <w:sz w:val="28"/>
        </w:rPr>
        <w:t>Platelet-rich fibrin (PRF): a second-generation platelet concentrate. Part II: platelet-related biologic features.</w:t>
      </w:r>
      <w:r w:rsidR="00C65D65">
        <w:rPr>
          <w:rFonts w:ascii="Times New Roman" w:hAnsi="Times New Roman" w:cs="Times New Roman"/>
          <w:noProof/>
          <w:sz w:val="28"/>
        </w:rPr>
        <w:t xml:space="preserve"> </w:t>
      </w:r>
      <w:r w:rsidR="00C65D65" w:rsidRPr="00C65D65">
        <w:rPr>
          <w:rFonts w:ascii="Times New Roman" w:hAnsi="Times New Roman" w:cs="Times New Roman"/>
          <w:noProof/>
          <w:sz w:val="28"/>
        </w:rPr>
        <w:t>Oral surgery, oral medicine, oral pathology, oral radiology, and endodontics, 101(3), 45-50.</w:t>
      </w:r>
    </w:p>
    <w:p w14:paraId="3E4B111D" w14:textId="5DD11AF6" w:rsidR="00C576C0" w:rsidRPr="00C576C0" w:rsidRDefault="00C576C0" w:rsidP="00C65D65">
      <w:pPr>
        <w:widowControl w:val="0"/>
        <w:autoSpaceDE w:val="0"/>
        <w:autoSpaceDN w:val="0"/>
        <w:adjustRightInd w:val="0"/>
        <w:spacing w:before="80" w:after="80"/>
        <w:ind w:left="640" w:hanging="640"/>
        <w:rPr>
          <w:rFonts w:ascii="Times New Roman" w:hAnsi="Times New Roman" w:cs="Times New Roman"/>
          <w:noProof/>
          <w:sz w:val="28"/>
        </w:rPr>
      </w:pPr>
      <w:r w:rsidRPr="00C576C0">
        <w:rPr>
          <w:rFonts w:ascii="Times New Roman" w:hAnsi="Times New Roman" w:cs="Times New Roman"/>
          <w:noProof/>
          <w:sz w:val="28"/>
        </w:rPr>
        <w:t xml:space="preserve">7. </w:t>
      </w:r>
      <w:r w:rsidRPr="00C576C0">
        <w:rPr>
          <w:rFonts w:ascii="Times New Roman" w:hAnsi="Times New Roman" w:cs="Times New Roman"/>
          <w:noProof/>
          <w:sz w:val="28"/>
        </w:rPr>
        <w:tab/>
      </w:r>
      <w:r w:rsidR="00C65D65" w:rsidRPr="00C65D65">
        <w:rPr>
          <w:rFonts w:ascii="Times New Roman" w:hAnsi="Times New Roman" w:cs="Times New Roman"/>
          <w:b/>
          <w:bCs/>
          <w:i/>
          <w:iCs/>
          <w:noProof/>
          <w:sz w:val="28"/>
        </w:rPr>
        <w:t xml:space="preserve">Dohan, D. M., Choukroun, J., Diss, A., Dohan, S. L., Dohan, A. J. J., Mouhyi, J., &amp; Gogly, B. (2006c). </w:t>
      </w:r>
      <w:r w:rsidR="00C65D65" w:rsidRPr="00C65D65">
        <w:rPr>
          <w:rFonts w:ascii="Times New Roman" w:hAnsi="Times New Roman" w:cs="Times New Roman"/>
          <w:noProof/>
          <w:sz w:val="28"/>
        </w:rPr>
        <w:t>Platelet-rich fibrin (PRF): a second-generation platelet concentrate. Part III: leucocyte activation: a new feature for platelet concentrates?. Oral surgery, oral medicine, oral pathology, oral radiology, and endodontics,101(3), 51-55.</w:t>
      </w:r>
    </w:p>
    <w:p w14:paraId="60DC4E70" w14:textId="77777777" w:rsidR="00C576C0" w:rsidRPr="00C576C0" w:rsidRDefault="00C576C0" w:rsidP="00C576C0">
      <w:pPr>
        <w:widowControl w:val="0"/>
        <w:autoSpaceDE w:val="0"/>
        <w:autoSpaceDN w:val="0"/>
        <w:adjustRightInd w:val="0"/>
        <w:spacing w:before="80" w:after="80"/>
        <w:ind w:left="640" w:hanging="640"/>
        <w:rPr>
          <w:rFonts w:ascii="Times New Roman" w:hAnsi="Times New Roman" w:cs="Times New Roman"/>
          <w:noProof/>
          <w:sz w:val="28"/>
        </w:rPr>
      </w:pPr>
      <w:r w:rsidRPr="00C576C0">
        <w:rPr>
          <w:rFonts w:ascii="Times New Roman" w:hAnsi="Times New Roman" w:cs="Times New Roman"/>
          <w:noProof/>
          <w:sz w:val="28"/>
        </w:rPr>
        <w:t xml:space="preserve">8. </w:t>
      </w:r>
      <w:r w:rsidRPr="00C576C0">
        <w:rPr>
          <w:rFonts w:ascii="Times New Roman" w:hAnsi="Times New Roman" w:cs="Times New Roman"/>
          <w:noProof/>
          <w:sz w:val="28"/>
        </w:rPr>
        <w:tab/>
      </w:r>
      <w:r w:rsidRPr="00C576C0">
        <w:rPr>
          <w:rFonts w:ascii="Times New Roman" w:hAnsi="Times New Roman" w:cs="Times New Roman"/>
          <w:b/>
          <w:bCs/>
          <w:i/>
          <w:iCs/>
          <w:noProof/>
          <w:sz w:val="28"/>
        </w:rPr>
        <w:t>Daif ET</w:t>
      </w:r>
      <w:r w:rsidRPr="00C576C0">
        <w:rPr>
          <w:rFonts w:ascii="Times New Roman" w:hAnsi="Times New Roman" w:cs="Times New Roman"/>
          <w:noProof/>
          <w:sz w:val="28"/>
        </w:rPr>
        <w:t xml:space="preserve">. Effect of autologous platelet-rich plasma on bone regeneration in mandibular fractures. </w:t>
      </w:r>
      <w:r w:rsidRPr="00C576C0">
        <w:rPr>
          <w:rFonts w:ascii="Times New Roman" w:hAnsi="Times New Roman" w:cs="Times New Roman"/>
          <w:i/>
          <w:iCs/>
          <w:noProof/>
          <w:sz w:val="28"/>
        </w:rPr>
        <w:t>Dent Traumatol</w:t>
      </w:r>
      <w:r w:rsidRPr="00C576C0">
        <w:rPr>
          <w:rFonts w:ascii="Times New Roman" w:hAnsi="Times New Roman" w:cs="Times New Roman"/>
          <w:noProof/>
          <w:sz w:val="28"/>
        </w:rPr>
        <w:t>. 2013;29(5):399-403.</w:t>
      </w:r>
    </w:p>
    <w:p w14:paraId="7EBA14C5" w14:textId="77777777" w:rsidR="00C576C0" w:rsidRPr="00C576C0" w:rsidRDefault="00C576C0" w:rsidP="00C576C0">
      <w:pPr>
        <w:widowControl w:val="0"/>
        <w:autoSpaceDE w:val="0"/>
        <w:autoSpaceDN w:val="0"/>
        <w:adjustRightInd w:val="0"/>
        <w:spacing w:before="80" w:after="80"/>
        <w:ind w:left="640" w:hanging="640"/>
        <w:rPr>
          <w:rFonts w:ascii="Times New Roman" w:hAnsi="Times New Roman" w:cs="Times New Roman"/>
          <w:noProof/>
          <w:sz w:val="28"/>
        </w:rPr>
      </w:pPr>
      <w:r w:rsidRPr="00C576C0">
        <w:rPr>
          <w:rFonts w:ascii="Times New Roman" w:hAnsi="Times New Roman" w:cs="Times New Roman"/>
          <w:noProof/>
          <w:sz w:val="28"/>
        </w:rPr>
        <w:t xml:space="preserve">9. </w:t>
      </w:r>
      <w:r w:rsidRPr="00C576C0">
        <w:rPr>
          <w:rFonts w:ascii="Times New Roman" w:hAnsi="Times New Roman" w:cs="Times New Roman"/>
          <w:noProof/>
          <w:sz w:val="28"/>
        </w:rPr>
        <w:tab/>
      </w:r>
      <w:r w:rsidRPr="00C576C0">
        <w:rPr>
          <w:rFonts w:ascii="Times New Roman" w:hAnsi="Times New Roman" w:cs="Times New Roman"/>
          <w:b/>
          <w:bCs/>
          <w:i/>
          <w:iCs/>
          <w:noProof/>
          <w:sz w:val="28"/>
        </w:rPr>
        <w:t>Willems A, Iҫli C, Waarsing JH, Bierma-Zeinstra SMA, Meuffels DE</w:t>
      </w:r>
      <w:r w:rsidRPr="00C576C0">
        <w:rPr>
          <w:rFonts w:ascii="Times New Roman" w:hAnsi="Times New Roman" w:cs="Times New Roman"/>
          <w:noProof/>
          <w:sz w:val="28"/>
        </w:rPr>
        <w:t xml:space="preserve">. Bone Union Assessment with Computed Tomography (CT) and Statistical Associations with Mechanical or Histological Testing: A Systematic Review of Animal Studies. </w:t>
      </w:r>
      <w:r w:rsidRPr="00C576C0">
        <w:rPr>
          <w:rFonts w:ascii="Times New Roman" w:hAnsi="Times New Roman" w:cs="Times New Roman"/>
          <w:i/>
          <w:iCs/>
          <w:noProof/>
          <w:sz w:val="28"/>
        </w:rPr>
        <w:t>Calcif Tissue Int</w:t>
      </w:r>
      <w:r w:rsidRPr="00C576C0">
        <w:rPr>
          <w:rFonts w:ascii="Times New Roman" w:hAnsi="Times New Roman" w:cs="Times New Roman"/>
          <w:noProof/>
          <w:sz w:val="28"/>
        </w:rPr>
        <w:t>. 2022;110(2):147-161.</w:t>
      </w:r>
    </w:p>
    <w:p w14:paraId="43BBD3F6" w14:textId="77777777" w:rsidR="00C576C0" w:rsidRPr="00C576C0" w:rsidRDefault="00C576C0" w:rsidP="00C576C0">
      <w:pPr>
        <w:widowControl w:val="0"/>
        <w:autoSpaceDE w:val="0"/>
        <w:autoSpaceDN w:val="0"/>
        <w:adjustRightInd w:val="0"/>
        <w:spacing w:before="80" w:after="80"/>
        <w:ind w:left="640" w:hanging="640"/>
        <w:rPr>
          <w:rFonts w:ascii="Times New Roman" w:hAnsi="Times New Roman" w:cs="Times New Roman"/>
          <w:noProof/>
          <w:sz w:val="28"/>
        </w:rPr>
      </w:pPr>
      <w:r w:rsidRPr="00C576C0">
        <w:rPr>
          <w:rFonts w:ascii="Times New Roman" w:hAnsi="Times New Roman" w:cs="Times New Roman"/>
          <w:noProof/>
          <w:sz w:val="28"/>
        </w:rPr>
        <w:t xml:space="preserve">10. </w:t>
      </w:r>
      <w:r w:rsidRPr="00C576C0">
        <w:rPr>
          <w:rFonts w:ascii="Times New Roman" w:hAnsi="Times New Roman" w:cs="Times New Roman"/>
          <w:noProof/>
          <w:sz w:val="28"/>
        </w:rPr>
        <w:tab/>
      </w:r>
      <w:r w:rsidRPr="00C576C0">
        <w:rPr>
          <w:rFonts w:ascii="Times New Roman" w:hAnsi="Times New Roman" w:cs="Times New Roman"/>
          <w:b/>
          <w:bCs/>
          <w:i/>
          <w:iCs/>
          <w:noProof/>
          <w:sz w:val="28"/>
        </w:rPr>
        <w:t>Raafat NS  and AI</w:t>
      </w:r>
      <w:r w:rsidRPr="00C576C0">
        <w:rPr>
          <w:rFonts w:ascii="Times New Roman" w:hAnsi="Times New Roman" w:cs="Times New Roman"/>
          <w:noProof/>
          <w:sz w:val="28"/>
        </w:rPr>
        <w:t xml:space="preserve">. The Effect of Platelet-Rich Fibrin on Bone Defects Repair in Experimental Animals: A Mini-Review. </w:t>
      </w:r>
      <w:r w:rsidRPr="00C576C0">
        <w:rPr>
          <w:rFonts w:ascii="Times New Roman" w:hAnsi="Times New Roman" w:cs="Times New Roman"/>
          <w:i/>
          <w:iCs/>
          <w:noProof/>
          <w:sz w:val="28"/>
        </w:rPr>
        <w:t>Austin Thromb reasearch Treat</w:t>
      </w:r>
      <w:r w:rsidRPr="00C576C0">
        <w:rPr>
          <w:rFonts w:ascii="Times New Roman" w:hAnsi="Times New Roman" w:cs="Times New Roman"/>
          <w:noProof/>
          <w:sz w:val="28"/>
        </w:rPr>
        <w:t>. 2019;3(1):1-3.</w:t>
      </w:r>
    </w:p>
    <w:p w14:paraId="17BF4ABA" w14:textId="77777777" w:rsidR="00C576C0" w:rsidRPr="00C576C0" w:rsidRDefault="00C576C0" w:rsidP="00C576C0">
      <w:pPr>
        <w:widowControl w:val="0"/>
        <w:autoSpaceDE w:val="0"/>
        <w:autoSpaceDN w:val="0"/>
        <w:adjustRightInd w:val="0"/>
        <w:spacing w:before="80" w:after="80"/>
        <w:ind w:left="640" w:hanging="640"/>
        <w:rPr>
          <w:rFonts w:ascii="Times New Roman" w:hAnsi="Times New Roman" w:cs="Times New Roman"/>
          <w:noProof/>
          <w:sz w:val="28"/>
        </w:rPr>
      </w:pPr>
      <w:r w:rsidRPr="00C576C0">
        <w:rPr>
          <w:rFonts w:ascii="Times New Roman" w:hAnsi="Times New Roman" w:cs="Times New Roman"/>
          <w:noProof/>
          <w:sz w:val="28"/>
        </w:rPr>
        <w:t xml:space="preserve">11. </w:t>
      </w:r>
      <w:r w:rsidRPr="00C576C0">
        <w:rPr>
          <w:rFonts w:ascii="Times New Roman" w:hAnsi="Times New Roman" w:cs="Times New Roman"/>
          <w:noProof/>
          <w:sz w:val="28"/>
        </w:rPr>
        <w:tab/>
      </w:r>
      <w:r w:rsidRPr="00C576C0">
        <w:rPr>
          <w:rFonts w:ascii="Times New Roman" w:hAnsi="Times New Roman" w:cs="Times New Roman"/>
          <w:b/>
          <w:bCs/>
          <w:i/>
          <w:iCs/>
          <w:noProof/>
          <w:sz w:val="28"/>
        </w:rPr>
        <w:t>Czerwinski M, Parker WL, Chehade A, Williams HB</w:t>
      </w:r>
      <w:r w:rsidRPr="00C576C0">
        <w:rPr>
          <w:rFonts w:ascii="Times New Roman" w:hAnsi="Times New Roman" w:cs="Times New Roman"/>
          <w:noProof/>
          <w:sz w:val="28"/>
        </w:rPr>
        <w:t xml:space="preserve">. Identification of mandibular fracture epidemiology in Canada: Enhancing injury prevention and patient evaluation. </w:t>
      </w:r>
      <w:r w:rsidRPr="00C576C0">
        <w:rPr>
          <w:rFonts w:ascii="Times New Roman" w:hAnsi="Times New Roman" w:cs="Times New Roman"/>
          <w:i/>
          <w:iCs/>
          <w:noProof/>
          <w:sz w:val="28"/>
        </w:rPr>
        <w:t>Can J Plast Surg</w:t>
      </w:r>
      <w:r w:rsidRPr="00C576C0">
        <w:rPr>
          <w:rFonts w:ascii="Times New Roman" w:hAnsi="Times New Roman" w:cs="Times New Roman"/>
          <w:noProof/>
          <w:sz w:val="28"/>
        </w:rPr>
        <w:t>. 2008;16(1):36-40.</w:t>
      </w:r>
    </w:p>
    <w:p w14:paraId="20A28A8D" w14:textId="77777777" w:rsidR="00C576C0" w:rsidRPr="00C576C0" w:rsidRDefault="00C576C0" w:rsidP="00C576C0">
      <w:pPr>
        <w:widowControl w:val="0"/>
        <w:autoSpaceDE w:val="0"/>
        <w:autoSpaceDN w:val="0"/>
        <w:adjustRightInd w:val="0"/>
        <w:spacing w:before="80" w:after="80"/>
        <w:ind w:left="640" w:hanging="640"/>
        <w:rPr>
          <w:rFonts w:ascii="Times New Roman" w:hAnsi="Times New Roman" w:cs="Times New Roman"/>
          <w:noProof/>
          <w:sz w:val="28"/>
        </w:rPr>
      </w:pPr>
      <w:r w:rsidRPr="00C576C0">
        <w:rPr>
          <w:rFonts w:ascii="Times New Roman" w:hAnsi="Times New Roman" w:cs="Times New Roman"/>
          <w:noProof/>
          <w:sz w:val="28"/>
        </w:rPr>
        <w:t xml:space="preserve">12. </w:t>
      </w:r>
      <w:r w:rsidRPr="00C576C0">
        <w:rPr>
          <w:rFonts w:ascii="Times New Roman" w:hAnsi="Times New Roman" w:cs="Times New Roman"/>
          <w:noProof/>
          <w:sz w:val="28"/>
        </w:rPr>
        <w:tab/>
      </w:r>
      <w:r w:rsidRPr="00C576C0">
        <w:rPr>
          <w:rFonts w:ascii="Times New Roman" w:hAnsi="Times New Roman" w:cs="Times New Roman"/>
          <w:b/>
          <w:bCs/>
          <w:i/>
          <w:iCs/>
          <w:noProof/>
          <w:sz w:val="28"/>
        </w:rPr>
        <w:t>El Shehaby DM, Farahat AMA, Shahine MS, Mohammed HM</w:t>
      </w:r>
      <w:r w:rsidRPr="00C576C0">
        <w:rPr>
          <w:rFonts w:ascii="Times New Roman" w:hAnsi="Times New Roman" w:cs="Times New Roman"/>
          <w:noProof/>
          <w:sz w:val="28"/>
        </w:rPr>
        <w:t xml:space="preserve">. Medico-legal evaluation and trend of the different patterns of maxillofacial fractures concomitant with closed head injury in Upper Egypt: retrospective study. </w:t>
      </w:r>
      <w:r w:rsidRPr="00C576C0">
        <w:rPr>
          <w:rFonts w:ascii="Times New Roman" w:hAnsi="Times New Roman" w:cs="Times New Roman"/>
          <w:i/>
          <w:iCs/>
          <w:noProof/>
          <w:sz w:val="28"/>
        </w:rPr>
        <w:t>Egypt J Forensic Sci</w:t>
      </w:r>
      <w:r w:rsidRPr="00C576C0">
        <w:rPr>
          <w:rFonts w:ascii="Times New Roman" w:hAnsi="Times New Roman" w:cs="Times New Roman"/>
          <w:noProof/>
          <w:sz w:val="28"/>
        </w:rPr>
        <w:t>. 2020;10(1):11.</w:t>
      </w:r>
    </w:p>
    <w:p w14:paraId="16AA19EB" w14:textId="340A071F" w:rsidR="00C576C0" w:rsidRPr="00C576C0" w:rsidRDefault="00C576C0" w:rsidP="00C576C0">
      <w:pPr>
        <w:widowControl w:val="0"/>
        <w:autoSpaceDE w:val="0"/>
        <w:autoSpaceDN w:val="0"/>
        <w:adjustRightInd w:val="0"/>
        <w:spacing w:before="80" w:after="80"/>
        <w:ind w:left="640" w:hanging="640"/>
        <w:rPr>
          <w:rFonts w:ascii="Times New Roman" w:hAnsi="Times New Roman" w:cs="Times New Roman"/>
          <w:noProof/>
          <w:sz w:val="28"/>
        </w:rPr>
      </w:pPr>
      <w:r w:rsidRPr="00C576C0">
        <w:rPr>
          <w:rFonts w:ascii="Times New Roman" w:hAnsi="Times New Roman" w:cs="Times New Roman"/>
          <w:noProof/>
          <w:sz w:val="28"/>
        </w:rPr>
        <w:t xml:space="preserve">13. </w:t>
      </w:r>
      <w:r w:rsidRPr="00C576C0">
        <w:rPr>
          <w:rFonts w:ascii="Times New Roman" w:hAnsi="Times New Roman" w:cs="Times New Roman"/>
          <w:noProof/>
          <w:sz w:val="28"/>
        </w:rPr>
        <w:tab/>
      </w:r>
      <w:r w:rsidRPr="00C576C0">
        <w:rPr>
          <w:rFonts w:ascii="Times New Roman" w:hAnsi="Times New Roman" w:cs="Times New Roman"/>
          <w:b/>
          <w:bCs/>
          <w:i/>
          <w:iCs/>
          <w:noProof/>
          <w:sz w:val="28"/>
        </w:rPr>
        <w:t>Chen Y-T, Chiu Y-W, Chang Y-C, Lin C-W</w:t>
      </w:r>
      <w:r w:rsidRPr="00C576C0">
        <w:rPr>
          <w:rFonts w:ascii="Times New Roman" w:hAnsi="Times New Roman" w:cs="Times New Roman"/>
          <w:noProof/>
          <w:sz w:val="28"/>
        </w:rPr>
        <w:t xml:space="preserve">. Ten-year retrospective study on mandibular fractures in central Taiwan. </w:t>
      </w:r>
      <w:r w:rsidRPr="00C576C0">
        <w:rPr>
          <w:rFonts w:ascii="Times New Roman" w:hAnsi="Times New Roman" w:cs="Times New Roman"/>
          <w:i/>
          <w:iCs/>
          <w:noProof/>
          <w:sz w:val="28"/>
        </w:rPr>
        <w:t>J Int Med Res</w:t>
      </w:r>
      <w:r w:rsidRPr="00C576C0">
        <w:rPr>
          <w:rFonts w:ascii="Times New Roman" w:hAnsi="Times New Roman" w:cs="Times New Roman"/>
          <w:noProof/>
          <w:sz w:val="28"/>
        </w:rPr>
        <w:t>. 2020;48(7):</w:t>
      </w:r>
      <w:r w:rsidR="00BB6A15">
        <w:rPr>
          <w:rFonts w:ascii="Times New Roman" w:hAnsi="Times New Roman" w:cs="Times New Roman"/>
          <w:noProof/>
          <w:sz w:val="28"/>
        </w:rPr>
        <w:t>1-8</w:t>
      </w:r>
      <w:r w:rsidRPr="00C576C0">
        <w:rPr>
          <w:rFonts w:ascii="Times New Roman" w:hAnsi="Times New Roman" w:cs="Times New Roman"/>
          <w:noProof/>
          <w:sz w:val="28"/>
        </w:rPr>
        <w:t>.</w:t>
      </w:r>
    </w:p>
    <w:p w14:paraId="16B105EB" w14:textId="77777777" w:rsidR="00C576C0" w:rsidRPr="00C576C0" w:rsidRDefault="00C576C0" w:rsidP="00C576C0">
      <w:pPr>
        <w:widowControl w:val="0"/>
        <w:autoSpaceDE w:val="0"/>
        <w:autoSpaceDN w:val="0"/>
        <w:adjustRightInd w:val="0"/>
        <w:spacing w:before="80" w:after="80"/>
        <w:ind w:left="640" w:hanging="640"/>
        <w:rPr>
          <w:rFonts w:ascii="Times New Roman" w:hAnsi="Times New Roman" w:cs="Times New Roman"/>
          <w:noProof/>
          <w:sz w:val="28"/>
        </w:rPr>
      </w:pPr>
      <w:r w:rsidRPr="00C576C0">
        <w:rPr>
          <w:rFonts w:ascii="Times New Roman" w:hAnsi="Times New Roman" w:cs="Times New Roman"/>
          <w:noProof/>
          <w:sz w:val="28"/>
        </w:rPr>
        <w:t xml:space="preserve">14. </w:t>
      </w:r>
      <w:r w:rsidRPr="00C576C0">
        <w:rPr>
          <w:rFonts w:ascii="Times New Roman" w:hAnsi="Times New Roman" w:cs="Times New Roman"/>
          <w:noProof/>
          <w:sz w:val="28"/>
        </w:rPr>
        <w:tab/>
      </w:r>
      <w:r w:rsidRPr="00C576C0">
        <w:rPr>
          <w:rFonts w:ascii="Times New Roman" w:hAnsi="Times New Roman" w:cs="Times New Roman"/>
          <w:b/>
          <w:bCs/>
          <w:i/>
          <w:iCs/>
          <w:noProof/>
          <w:sz w:val="28"/>
        </w:rPr>
        <w:t>Zhu S-J, Choi B-H, Jung J-H, et al.</w:t>
      </w:r>
      <w:r w:rsidRPr="00C576C0">
        <w:rPr>
          <w:rFonts w:ascii="Times New Roman" w:hAnsi="Times New Roman" w:cs="Times New Roman"/>
          <w:noProof/>
          <w:sz w:val="28"/>
        </w:rPr>
        <w:t xml:space="preserve"> A comparative histologic analysis of tissue-engineered bone using platelet-rich plasma and platelet-enriched fibrin glue. </w:t>
      </w:r>
      <w:r w:rsidRPr="00C576C0">
        <w:rPr>
          <w:rFonts w:ascii="Times New Roman" w:hAnsi="Times New Roman" w:cs="Times New Roman"/>
          <w:i/>
          <w:iCs/>
          <w:noProof/>
          <w:sz w:val="28"/>
        </w:rPr>
        <w:t>Oral Surgery, Oral Med Oral Pathol Oral Radiol Endodontology</w:t>
      </w:r>
      <w:r w:rsidRPr="00C576C0">
        <w:rPr>
          <w:rFonts w:ascii="Times New Roman" w:hAnsi="Times New Roman" w:cs="Times New Roman"/>
          <w:noProof/>
          <w:sz w:val="28"/>
        </w:rPr>
        <w:t>. 2006;102(2):175-179.</w:t>
      </w:r>
    </w:p>
    <w:p w14:paraId="203CCF08" w14:textId="77777777" w:rsidR="00C576C0" w:rsidRPr="00C576C0" w:rsidRDefault="00C576C0" w:rsidP="00C576C0">
      <w:pPr>
        <w:widowControl w:val="0"/>
        <w:autoSpaceDE w:val="0"/>
        <w:autoSpaceDN w:val="0"/>
        <w:adjustRightInd w:val="0"/>
        <w:spacing w:before="80" w:after="80"/>
        <w:ind w:left="640" w:hanging="640"/>
        <w:rPr>
          <w:rFonts w:ascii="Times New Roman" w:hAnsi="Times New Roman" w:cs="Times New Roman"/>
          <w:noProof/>
          <w:sz w:val="28"/>
        </w:rPr>
      </w:pPr>
      <w:r w:rsidRPr="00C576C0">
        <w:rPr>
          <w:rFonts w:ascii="Times New Roman" w:hAnsi="Times New Roman" w:cs="Times New Roman"/>
          <w:noProof/>
          <w:sz w:val="28"/>
        </w:rPr>
        <w:t xml:space="preserve">15. </w:t>
      </w:r>
      <w:r w:rsidRPr="00C576C0">
        <w:rPr>
          <w:rFonts w:ascii="Times New Roman" w:hAnsi="Times New Roman" w:cs="Times New Roman"/>
          <w:noProof/>
          <w:sz w:val="28"/>
        </w:rPr>
        <w:tab/>
      </w:r>
      <w:r w:rsidRPr="00C576C0">
        <w:rPr>
          <w:rFonts w:ascii="Times New Roman" w:hAnsi="Times New Roman" w:cs="Times New Roman"/>
          <w:b/>
          <w:bCs/>
          <w:i/>
          <w:iCs/>
          <w:noProof/>
          <w:sz w:val="28"/>
        </w:rPr>
        <w:t>Al-Khawlani E, Adly O, Hamed T, Abass A, Abdelmabood A</w:t>
      </w:r>
      <w:r w:rsidRPr="00C576C0">
        <w:rPr>
          <w:rFonts w:ascii="Times New Roman" w:hAnsi="Times New Roman" w:cs="Times New Roman"/>
          <w:noProof/>
          <w:sz w:val="28"/>
        </w:rPr>
        <w:t xml:space="preserve">. Clinical and radiographic evaluation of platelet-rich fibrin gel on the outcome of mandibular fracture. </w:t>
      </w:r>
      <w:r w:rsidRPr="00C576C0">
        <w:rPr>
          <w:rFonts w:ascii="Times New Roman" w:hAnsi="Times New Roman" w:cs="Times New Roman"/>
          <w:i/>
          <w:iCs/>
          <w:noProof/>
          <w:sz w:val="28"/>
        </w:rPr>
        <w:t>Egypt J Oral Maxillofac surg</w:t>
      </w:r>
      <w:r w:rsidRPr="00C576C0">
        <w:rPr>
          <w:rFonts w:ascii="Times New Roman" w:hAnsi="Times New Roman" w:cs="Times New Roman"/>
          <w:noProof/>
          <w:sz w:val="28"/>
        </w:rPr>
        <w:t>. 2014;5(3):77-83.</w:t>
      </w:r>
    </w:p>
    <w:p w14:paraId="57DF2465" w14:textId="77777777" w:rsidR="00C576C0" w:rsidRPr="00C576C0" w:rsidRDefault="00C576C0" w:rsidP="00C576C0">
      <w:pPr>
        <w:widowControl w:val="0"/>
        <w:autoSpaceDE w:val="0"/>
        <w:autoSpaceDN w:val="0"/>
        <w:adjustRightInd w:val="0"/>
        <w:spacing w:before="80" w:after="80"/>
        <w:ind w:left="640" w:hanging="640"/>
        <w:rPr>
          <w:rFonts w:ascii="Times New Roman" w:hAnsi="Times New Roman" w:cs="Times New Roman"/>
          <w:noProof/>
          <w:sz w:val="28"/>
        </w:rPr>
      </w:pPr>
      <w:r w:rsidRPr="00C576C0">
        <w:rPr>
          <w:rFonts w:ascii="Times New Roman" w:hAnsi="Times New Roman" w:cs="Times New Roman"/>
          <w:noProof/>
          <w:sz w:val="28"/>
        </w:rPr>
        <w:t xml:space="preserve">16. </w:t>
      </w:r>
      <w:r w:rsidRPr="00C576C0">
        <w:rPr>
          <w:rFonts w:ascii="Times New Roman" w:hAnsi="Times New Roman" w:cs="Times New Roman"/>
          <w:noProof/>
          <w:sz w:val="28"/>
        </w:rPr>
        <w:tab/>
      </w:r>
      <w:r w:rsidRPr="00C576C0">
        <w:rPr>
          <w:rFonts w:ascii="Times New Roman" w:hAnsi="Times New Roman" w:cs="Times New Roman"/>
          <w:b/>
          <w:bCs/>
          <w:i/>
          <w:iCs/>
          <w:noProof/>
          <w:sz w:val="28"/>
        </w:rPr>
        <w:t>Gaßling VLW, Açil Y, Springer IN, Hubert N, Wiltfang J</w:t>
      </w:r>
      <w:r w:rsidRPr="00C576C0">
        <w:rPr>
          <w:rFonts w:ascii="Times New Roman" w:hAnsi="Times New Roman" w:cs="Times New Roman"/>
          <w:noProof/>
          <w:sz w:val="28"/>
        </w:rPr>
        <w:t xml:space="preserve">. Platelet-rich Plasma and Platelet-rich fibrin in human cell culture. </w:t>
      </w:r>
      <w:r w:rsidRPr="00C576C0">
        <w:rPr>
          <w:rFonts w:ascii="Times New Roman" w:hAnsi="Times New Roman" w:cs="Times New Roman"/>
          <w:i/>
          <w:iCs/>
          <w:noProof/>
          <w:sz w:val="28"/>
        </w:rPr>
        <w:t xml:space="preserve">Oral Surgery, Oral </w:t>
      </w:r>
      <w:r w:rsidRPr="00C576C0">
        <w:rPr>
          <w:rFonts w:ascii="Times New Roman" w:hAnsi="Times New Roman" w:cs="Times New Roman"/>
          <w:i/>
          <w:iCs/>
          <w:noProof/>
          <w:sz w:val="28"/>
        </w:rPr>
        <w:lastRenderedPageBreak/>
        <w:t>Med Oral Pathol Oral Radiol Endodontology</w:t>
      </w:r>
      <w:r w:rsidRPr="00C576C0">
        <w:rPr>
          <w:rFonts w:ascii="Times New Roman" w:hAnsi="Times New Roman" w:cs="Times New Roman"/>
          <w:noProof/>
          <w:sz w:val="28"/>
        </w:rPr>
        <w:t>. 2009;108(1):48-55.</w:t>
      </w:r>
    </w:p>
    <w:p w14:paraId="26842344" w14:textId="5A20BA43" w:rsidR="00C576C0" w:rsidRPr="00C576C0" w:rsidRDefault="00C576C0" w:rsidP="00C576C0">
      <w:pPr>
        <w:widowControl w:val="0"/>
        <w:autoSpaceDE w:val="0"/>
        <w:autoSpaceDN w:val="0"/>
        <w:adjustRightInd w:val="0"/>
        <w:spacing w:before="80" w:after="80"/>
        <w:ind w:left="640" w:hanging="640"/>
        <w:rPr>
          <w:rFonts w:ascii="Times New Roman" w:hAnsi="Times New Roman" w:cs="Times New Roman"/>
          <w:noProof/>
          <w:sz w:val="28"/>
        </w:rPr>
      </w:pPr>
      <w:r w:rsidRPr="00C576C0">
        <w:rPr>
          <w:rFonts w:ascii="Times New Roman" w:hAnsi="Times New Roman" w:cs="Times New Roman"/>
          <w:noProof/>
          <w:sz w:val="28"/>
        </w:rPr>
        <w:t xml:space="preserve">17. </w:t>
      </w:r>
      <w:r w:rsidRPr="00C576C0">
        <w:rPr>
          <w:rFonts w:ascii="Times New Roman" w:hAnsi="Times New Roman" w:cs="Times New Roman"/>
          <w:noProof/>
          <w:sz w:val="28"/>
        </w:rPr>
        <w:tab/>
      </w:r>
      <w:r w:rsidRPr="00C576C0">
        <w:rPr>
          <w:rFonts w:ascii="Times New Roman" w:hAnsi="Times New Roman" w:cs="Times New Roman"/>
          <w:b/>
          <w:bCs/>
          <w:i/>
          <w:iCs/>
          <w:noProof/>
          <w:sz w:val="28"/>
        </w:rPr>
        <w:t>Al-Hamed FS, Mahri M, Al-Waeli H, Torres J, Badran Z, Tamimi F</w:t>
      </w:r>
      <w:r w:rsidRPr="00C576C0">
        <w:rPr>
          <w:rFonts w:ascii="Times New Roman" w:hAnsi="Times New Roman" w:cs="Times New Roman"/>
          <w:noProof/>
          <w:sz w:val="28"/>
        </w:rPr>
        <w:t xml:space="preserve">. Regenerative Effect of Platelet Concentrates in Oral and Craniofacial Regeneration. </w:t>
      </w:r>
      <w:r w:rsidRPr="00C576C0">
        <w:rPr>
          <w:rFonts w:ascii="Times New Roman" w:hAnsi="Times New Roman" w:cs="Times New Roman"/>
          <w:i/>
          <w:iCs/>
          <w:noProof/>
          <w:sz w:val="28"/>
        </w:rPr>
        <w:t>Front Cardiovasc Med</w:t>
      </w:r>
      <w:r w:rsidRPr="00C576C0">
        <w:rPr>
          <w:rFonts w:ascii="Times New Roman" w:hAnsi="Times New Roman" w:cs="Times New Roman"/>
          <w:noProof/>
          <w:sz w:val="28"/>
        </w:rPr>
        <w:t>. 2019;6</w:t>
      </w:r>
      <w:r w:rsidR="00BB6A15" w:rsidRPr="00BB6A15">
        <w:rPr>
          <w:rFonts w:ascii="Times New Roman" w:hAnsi="Times New Roman" w:cs="Times New Roman"/>
          <w:noProof/>
          <w:sz w:val="28"/>
        </w:rPr>
        <w:t>(1), 126-140</w:t>
      </w:r>
      <w:r w:rsidRPr="00C576C0">
        <w:rPr>
          <w:rFonts w:ascii="Times New Roman" w:hAnsi="Times New Roman" w:cs="Times New Roman"/>
          <w:noProof/>
          <w:sz w:val="28"/>
        </w:rPr>
        <w:t>.</w:t>
      </w:r>
    </w:p>
    <w:p w14:paraId="3649A2BF" w14:textId="77777777" w:rsidR="00C576C0" w:rsidRPr="00C576C0" w:rsidRDefault="00C576C0" w:rsidP="00C576C0">
      <w:pPr>
        <w:widowControl w:val="0"/>
        <w:autoSpaceDE w:val="0"/>
        <w:autoSpaceDN w:val="0"/>
        <w:adjustRightInd w:val="0"/>
        <w:spacing w:before="80" w:after="80"/>
        <w:ind w:left="640" w:hanging="640"/>
        <w:rPr>
          <w:rFonts w:ascii="Times New Roman" w:hAnsi="Times New Roman" w:cs="Times New Roman"/>
          <w:noProof/>
          <w:sz w:val="28"/>
        </w:rPr>
      </w:pPr>
      <w:r w:rsidRPr="00C576C0">
        <w:rPr>
          <w:rFonts w:ascii="Times New Roman" w:hAnsi="Times New Roman" w:cs="Times New Roman"/>
          <w:noProof/>
          <w:sz w:val="28"/>
        </w:rPr>
        <w:t xml:space="preserve">18. </w:t>
      </w:r>
      <w:r w:rsidRPr="00C576C0">
        <w:rPr>
          <w:rFonts w:ascii="Times New Roman" w:hAnsi="Times New Roman" w:cs="Times New Roman"/>
          <w:noProof/>
          <w:sz w:val="28"/>
        </w:rPr>
        <w:tab/>
      </w:r>
      <w:r w:rsidRPr="00C576C0">
        <w:rPr>
          <w:rFonts w:ascii="Times New Roman" w:hAnsi="Times New Roman" w:cs="Times New Roman"/>
          <w:b/>
          <w:bCs/>
          <w:i/>
          <w:iCs/>
          <w:noProof/>
          <w:sz w:val="28"/>
        </w:rPr>
        <w:t>Al Rayess AM, El Dibany MM, Melek LN</w:t>
      </w:r>
      <w:r w:rsidRPr="00C576C0">
        <w:rPr>
          <w:rFonts w:ascii="Times New Roman" w:hAnsi="Times New Roman" w:cs="Times New Roman"/>
          <w:noProof/>
          <w:sz w:val="28"/>
        </w:rPr>
        <w:t xml:space="preserve">. Clinical and radiographic study of healing of mandibular fractures using plasma rich fibrin membrane with miniplate fixation. </w:t>
      </w:r>
      <w:r w:rsidRPr="00C576C0">
        <w:rPr>
          <w:rFonts w:ascii="Times New Roman" w:hAnsi="Times New Roman" w:cs="Times New Roman"/>
          <w:i/>
          <w:iCs/>
          <w:noProof/>
          <w:sz w:val="28"/>
        </w:rPr>
        <w:t>Alexandria Dent J</w:t>
      </w:r>
      <w:r w:rsidRPr="00C576C0">
        <w:rPr>
          <w:rFonts w:ascii="Times New Roman" w:hAnsi="Times New Roman" w:cs="Times New Roman"/>
          <w:noProof/>
          <w:sz w:val="28"/>
        </w:rPr>
        <w:t>. 2018;43(1):41-47.</w:t>
      </w:r>
    </w:p>
    <w:p w14:paraId="41F55852" w14:textId="77777777" w:rsidR="00C576C0" w:rsidRPr="00C576C0" w:rsidRDefault="00C576C0" w:rsidP="00C576C0">
      <w:pPr>
        <w:widowControl w:val="0"/>
        <w:autoSpaceDE w:val="0"/>
        <w:autoSpaceDN w:val="0"/>
        <w:adjustRightInd w:val="0"/>
        <w:spacing w:before="80" w:after="80"/>
        <w:ind w:left="640" w:hanging="640"/>
        <w:rPr>
          <w:rFonts w:ascii="Times New Roman" w:hAnsi="Times New Roman" w:cs="Times New Roman"/>
          <w:noProof/>
          <w:sz w:val="28"/>
        </w:rPr>
      </w:pPr>
      <w:r w:rsidRPr="00C576C0">
        <w:rPr>
          <w:rFonts w:ascii="Times New Roman" w:hAnsi="Times New Roman" w:cs="Times New Roman"/>
          <w:noProof/>
          <w:sz w:val="28"/>
        </w:rPr>
        <w:t xml:space="preserve">19. </w:t>
      </w:r>
      <w:r w:rsidRPr="00C576C0">
        <w:rPr>
          <w:rFonts w:ascii="Times New Roman" w:hAnsi="Times New Roman" w:cs="Times New Roman"/>
          <w:noProof/>
          <w:sz w:val="28"/>
        </w:rPr>
        <w:tab/>
      </w:r>
      <w:r w:rsidRPr="00C576C0">
        <w:rPr>
          <w:rFonts w:ascii="Times New Roman" w:hAnsi="Times New Roman" w:cs="Times New Roman"/>
          <w:b/>
          <w:bCs/>
          <w:i/>
          <w:iCs/>
          <w:noProof/>
          <w:sz w:val="28"/>
        </w:rPr>
        <w:t>Kumar YR, Mohanty S, Verma M, et al.</w:t>
      </w:r>
      <w:r w:rsidRPr="00C576C0">
        <w:rPr>
          <w:rFonts w:ascii="Times New Roman" w:hAnsi="Times New Roman" w:cs="Times New Roman"/>
          <w:noProof/>
          <w:sz w:val="28"/>
        </w:rPr>
        <w:t xml:space="preserve"> Platelet-rich fibrin: The benefits. </w:t>
      </w:r>
      <w:r w:rsidRPr="00C576C0">
        <w:rPr>
          <w:rFonts w:ascii="Times New Roman" w:hAnsi="Times New Roman" w:cs="Times New Roman"/>
          <w:i/>
          <w:iCs/>
          <w:noProof/>
          <w:sz w:val="28"/>
        </w:rPr>
        <w:t>Br J Oral Maxillofac Surg</w:t>
      </w:r>
      <w:r w:rsidRPr="00C576C0">
        <w:rPr>
          <w:rFonts w:ascii="Times New Roman" w:hAnsi="Times New Roman" w:cs="Times New Roman"/>
          <w:noProof/>
          <w:sz w:val="28"/>
        </w:rPr>
        <w:t>. 2015;54(1):57-61.</w:t>
      </w:r>
    </w:p>
    <w:p w14:paraId="7C4A20F2" w14:textId="005BD808" w:rsidR="00C576C0" w:rsidRPr="00BB6A15" w:rsidRDefault="00C576C0" w:rsidP="00BB6A15">
      <w:pPr>
        <w:widowControl w:val="0"/>
        <w:autoSpaceDE w:val="0"/>
        <w:autoSpaceDN w:val="0"/>
        <w:adjustRightInd w:val="0"/>
        <w:spacing w:before="80" w:after="80"/>
        <w:ind w:left="640" w:hanging="640"/>
        <w:rPr>
          <w:rFonts w:ascii="Times New Roman" w:hAnsi="Times New Roman" w:cs="Times New Roman"/>
          <w:noProof/>
          <w:sz w:val="28"/>
        </w:rPr>
      </w:pPr>
      <w:r w:rsidRPr="00C576C0">
        <w:rPr>
          <w:rFonts w:ascii="Times New Roman" w:hAnsi="Times New Roman" w:cs="Times New Roman"/>
          <w:noProof/>
          <w:sz w:val="28"/>
        </w:rPr>
        <w:t xml:space="preserve">20. </w:t>
      </w:r>
      <w:r w:rsidRPr="00C576C0">
        <w:rPr>
          <w:rFonts w:ascii="Times New Roman" w:hAnsi="Times New Roman" w:cs="Times New Roman"/>
          <w:noProof/>
          <w:sz w:val="28"/>
        </w:rPr>
        <w:tab/>
      </w:r>
      <w:r w:rsidR="00BB6A15" w:rsidRPr="00BB6A15">
        <w:rPr>
          <w:rFonts w:ascii="Times New Roman" w:hAnsi="Times New Roman" w:cs="Times New Roman"/>
          <w:b/>
          <w:bCs/>
          <w:i/>
          <w:iCs/>
          <w:noProof/>
          <w:sz w:val="28"/>
        </w:rPr>
        <w:t xml:space="preserve">Esen, A., Menziletoğlu, D., &amp; Işık, B. K. (2016). </w:t>
      </w:r>
      <w:r w:rsidR="00BB6A15" w:rsidRPr="00BB6A15">
        <w:rPr>
          <w:rFonts w:ascii="Times New Roman" w:hAnsi="Times New Roman" w:cs="Times New Roman"/>
          <w:noProof/>
          <w:sz w:val="28"/>
        </w:rPr>
        <w:t>Effect of platelet-rich fibrin in reducing postoperative complications after impacted third molar surgery: a prospective, randomized controlled clinical trial. Acta Odontologica Turcica, 34(2), 46-48.</w:t>
      </w:r>
    </w:p>
    <w:p w14:paraId="42DED7FA" w14:textId="77777777" w:rsidR="00C576C0" w:rsidRPr="00C576C0" w:rsidRDefault="00C576C0" w:rsidP="00C576C0">
      <w:pPr>
        <w:widowControl w:val="0"/>
        <w:autoSpaceDE w:val="0"/>
        <w:autoSpaceDN w:val="0"/>
        <w:adjustRightInd w:val="0"/>
        <w:spacing w:before="80" w:after="80"/>
        <w:ind w:left="640" w:hanging="640"/>
        <w:rPr>
          <w:rFonts w:ascii="Times New Roman" w:hAnsi="Times New Roman" w:cs="Times New Roman"/>
          <w:noProof/>
          <w:sz w:val="28"/>
        </w:rPr>
      </w:pPr>
      <w:r w:rsidRPr="00C576C0">
        <w:rPr>
          <w:rFonts w:ascii="Times New Roman" w:hAnsi="Times New Roman" w:cs="Times New Roman"/>
          <w:noProof/>
          <w:sz w:val="28"/>
        </w:rPr>
        <w:t xml:space="preserve">21. </w:t>
      </w:r>
      <w:r w:rsidRPr="00C576C0">
        <w:rPr>
          <w:rFonts w:ascii="Times New Roman" w:hAnsi="Times New Roman" w:cs="Times New Roman"/>
          <w:noProof/>
          <w:sz w:val="28"/>
        </w:rPr>
        <w:tab/>
      </w:r>
      <w:r w:rsidRPr="00C576C0">
        <w:rPr>
          <w:rFonts w:ascii="Times New Roman" w:hAnsi="Times New Roman" w:cs="Times New Roman"/>
          <w:b/>
          <w:bCs/>
          <w:i/>
          <w:iCs/>
          <w:noProof/>
          <w:sz w:val="28"/>
        </w:rPr>
        <w:t>Kumar N, Prasad K, Ramanujam L, K R, Dexith J, Chauhan A</w:t>
      </w:r>
      <w:r w:rsidRPr="00C576C0">
        <w:rPr>
          <w:rFonts w:ascii="Times New Roman" w:hAnsi="Times New Roman" w:cs="Times New Roman"/>
          <w:noProof/>
          <w:sz w:val="28"/>
        </w:rPr>
        <w:t xml:space="preserve">. Evaluation of Treatment Outcome After Impacted Mandibular Third Molar Surgery With the Use of Autologous Platelet-Rich Fibrin: A Randomized Controlled Clinical Study. </w:t>
      </w:r>
      <w:r w:rsidRPr="00C576C0">
        <w:rPr>
          <w:rFonts w:ascii="Times New Roman" w:hAnsi="Times New Roman" w:cs="Times New Roman"/>
          <w:i/>
          <w:iCs/>
          <w:noProof/>
          <w:sz w:val="28"/>
        </w:rPr>
        <w:t>J Oral Maxillofac Surg</w:t>
      </w:r>
      <w:r w:rsidRPr="00C576C0">
        <w:rPr>
          <w:rFonts w:ascii="Times New Roman" w:hAnsi="Times New Roman" w:cs="Times New Roman"/>
          <w:noProof/>
          <w:sz w:val="28"/>
        </w:rPr>
        <w:t>. 2015;73(6):1042-1049.</w:t>
      </w:r>
    </w:p>
    <w:p w14:paraId="37B29DB4" w14:textId="77777777" w:rsidR="008050FD" w:rsidRPr="001655A6" w:rsidRDefault="008050FD" w:rsidP="008050FD">
      <w:pPr>
        <w:spacing w:before="90" w:after="90"/>
        <w:ind w:left="320" w:hanging="320"/>
        <w:jc w:val="both"/>
        <w:rPr>
          <w:rFonts w:ascii="Times New Roman" w:hAnsi="Times New Roman" w:cs="Times New Roman"/>
        </w:rPr>
      </w:pPr>
      <w:r w:rsidRPr="00BF3C0C">
        <w:rPr>
          <w:rFonts w:ascii="Times New Roman" w:hAnsi="Times New Roman" w:cs="Times New Roman"/>
          <w:sz w:val="28"/>
          <w:szCs w:val="28"/>
        </w:rPr>
        <w:fldChar w:fldCharType="end"/>
      </w:r>
    </w:p>
    <w:p w14:paraId="5A58D363" w14:textId="77777777" w:rsidR="008050FD" w:rsidRPr="001655A6" w:rsidRDefault="008050FD" w:rsidP="008050FD"/>
    <w:p w14:paraId="1CB2645E" w14:textId="77777777" w:rsidR="008050FD" w:rsidRDefault="008050FD" w:rsidP="008050FD"/>
    <w:p w14:paraId="6D475230" w14:textId="77777777" w:rsidR="005A7111" w:rsidRDefault="005A7111"/>
    <w:sectPr w:rsidR="005A7111" w:rsidSect="00B570F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EDB"/>
    <w:rsid w:val="000D4A49"/>
    <w:rsid w:val="00280EDB"/>
    <w:rsid w:val="005A7111"/>
    <w:rsid w:val="006A4B1C"/>
    <w:rsid w:val="006A5EF7"/>
    <w:rsid w:val="008050FD"/>
    <w:rsid w:val="008549F3"/>
    <w:rsid w:val="00BB6A15"/>
    <w:rsid w:val="00C46228"/>
    <w:rsid w:val="00C576C0"/>
    <w:rsid w:val="00C65D65"/>
    <w:rsid w:val="00D56D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F3AE2"/>
  <w15:chartTrackingRefBased/>
  <w15:docId w15:val="{DD469458-ECD0-4E0E-BE92-D95171A6E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0FD"/>
    <w:pPr>
      <w:spacing w:after="0" w:line="240" w:lineRule="auto"/>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1Light">
    <w:name w:val="Grid Table 1 Light"/>
    <w:basedOn w:val="TableNormal"/>
    <w:uiPriority w:val="46"/>
    <w:rsid w:val="008050FD"/>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Sheet1!$B$1</c:f>
              <c:strCache>
                <c:ptCount val="1"/>
                <c:pt idx="0">
                  <c:v>Group A</c:v>
                </c:pt>
              </c:strCache>
            </c:strRef>
          </c:tx>
          <c:spPr>
            <a:solidFill>
              <a:srgbClr val="4472C4"/>
            </a:solidFill>
            <a:ln w="25234">
              <a:noFill/>
            </a:ln>
          </c:spPr>
          <c:invertIfNegative val="0"/>
          <c:dLbls>
            <c:dLbl>
              <c:idx val="0"/>
              <c:layout>
                <c:manualLayout>
                  <c:x val="-4.6296296296296511E-3"/>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C6-4A07-9E83-DDF86285BE62}"/>
                </c:ext>
              </c:extLst>
            </c:dLbl>
            <c:dLbl>
              <c:idx val="1"/>
              <c:layout>
                <c:manualLayout>
                  <c:x val="-1.1574074074074073E-2"/>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C6-4A07-9E83-DDF86285BE62}"/>
                </c:ext>
              </c:extLst>
            </c:dLbl>
            <c:dLbl>
              <c:idx val="2"/>
              <c:layout>
                <c:manualLayout>
                  <c:x val="-6.9444444444444441E-3"/>
                  <c:y val="-1.9841269841269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C6-4A07-9E83-DDF86285BE62}"/>
                </c:ext>
              </c:extLst>
            </c:dLbl>
            <c:dLbl>
              <c:idx val="3"/>
              <c:layout>
                <c:manualLayout>
                  <c:x val="6.9444444444444441E-3"/>
                  <c:y val="-3.5714285714285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C6-4A07-9E83-DDF86285BE62}"/>
                </c:ext>
              </c:extLst>
            </c:dLbl>
            <c:dLbl>
              <c:idx val="4"/>
              <c:layout>
                <c:manualLayout>
                  <c:x val="1.8518518518518517E-2"/>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C6-4A07-9E83-DDF86285BE62}"/>
                </c:ext>
              </c:extLst>
            </c:dLbl>
            <c:spPr>
              <a:noFill/>
              <a:ln w="25234">
                <a:noFill/>
              </a:ln>
            </c:spPr>
            <c:txPr>
              <a:bodyPr rot="0" spcFirstLastPara="1" vertOverflow="ellipsis" vert="horz" wrap="square" anchor="ctr" anchorCtr="1"/>
              <a:lstStyle/>
              <a:p>
                <a:pPr>
                  <a:defRPr sz="994"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3rd day</c:v>
                </c:pt>
                <c:pt idx="1">
                  <c:v>1 week</c:v>
                </c:pt>
                <c:pt idx="2">
                  <c:v>1month</c:v>
                </c:pt>
                <c:pt idx="3">
                  <c:v>3months</c:v>
                </c:pt>
                <c:pt idx="4">
                  <c:v>6months</c:v>
                </c:pt>
              </c:strCache>
            </c:strRef>
          </c:cat>
          <c:val>
            <c:numRef>
              <c:f>Sheet1!$B$2:$B$6</c:f>
              <c:numCache>
                <c:formatCode>General</c:formatCode>
                <c:ptCount val="5"/>
                <c:pt idx="0">
                  <c:v>15.2</c:v>
                </c:pt>
                <c:pt idx="1">
                  <c:v>20.45</c:v>
                </c:pt>
                <c:pt idx="2">
                  <c:v>29.9</c:v>
                </c:pt>
                <c:pt idx="3">
                  <c:v>39.5</c:v>
                </c:pt>
                <c:pt idx="4">
                  <c:v>47.55</c:v>
                </c:pt>
              </c:numCache>
            </c:numRef>
          </c:val>
          <c:extLst>
            <c:ext xmlns:c16="http://schemas.microsoft.com/office/drawing/2014/chart" uri="{C3380CC4-5D6E-409C-BE32-E72D297353CC}">
              <c16:uniqueId val="{00000005-78C6-4A07-9E83-DDF86285BE62}"/>
            </c:ext>
          </c:extLst>
        </c:ser>
        <c:ser>
          <c:idx val="1"/>
          <c:order val="1"/>
          <c:tx>
            <c:strRef>
              <c:f>Sheet1!$C$1</c:f>
              <c:strCache>
                <c:ptCount val="1"/>
                <c:pt idx="0">
                  <c:v>Group B</c:v>
                </c:pt>
              </c:strCache>
            </c:strRef>
          </c:tx>
          <c:spPr>
            <a:solidFill>
              <a:srgbClr val="ED7D31"/>
            </a:solidFill>
            <a:ln w="25234">
              <a:noFill/>
            </a:ln>
          </c:spPr>
          <c:invertIfNegative val="0"/>
          <c:dLbls>
            <c:dLbl>
              <c:idx val="0"/>
              <c:layout>
                <c:manualLayout>
                  <c:x val="2.546296296296292E-2"/>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C6-4A07-9E83-DDF86285BE62}"/>
                </c:ext>
              </c:extLst>
            </c:dLbl>
            <c:dLbl>
              <c:idx val="1"/>
              <c:layout>
                <c:manualLayout>
                  <c:x val="5.0925925925925923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C6-4A07-9E83-DDF86285BE62}"/>
                </c:ext>
              </c:extLst>
            </c:dLbl>
            <c:dLbl>
              <c:idx val="2"/>
              <c:layout>
                <c:manualLayout>
                  <c:x val="4.1666666666666664E-2"/>
                  <c:y val="-3.5714285714285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8C6-4A07-9E83-DDF86285BE62}"/>
                </c:ext>
              </c:extLst>
            </c:dLbl>
            <c:dLbl>
              <c:idx val="3"/>
              <c:layout>
                <c:manualLayout>
                  <c:x val="2.0833333333333332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8C6-4A07-9E83-DDF86285BE62}"/>
                </c:ext>
              </c:extLst>
            </c:dLbl>
            <c:dLbl>
              <c:idx val="4"/>
              <c:layout>
                <c:manualLayout>
                  <c:x val="3.9351851851851853E-2"/>
                  <c:y val="-2.3809523809523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8C6-4A07-9E83-DDF86285BE62}"/>
                </c:ext>
              </c:extLst>
            </c:dLbl>
            <c:spPr>
              <a:noFill/>
              <a:ln w="25234">
                <a:noFill/>
              </a:ln>
            </c:spPr>
            <c:txPr>
              <a:bodyPr rot="0" spcFirstLastPara="1" vertOverflow="ellipsis" vert="horz" wrap="square" anchor="ctr" anchorCtr="1"/>
              <a:lstStyle/>
              <a:p>
                <a:pPr>
                  <a:defRPr sz="994"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3rd day</c:v>
                </c:pt>
                <c:pt idx="1">
                  <c:v>1 week</c:v>
                </c:pt>
                <c:pt idx="2">
                  <c:v>1month</c:v>
                </c:pt>
                <c:pt idx="3">
                  <c:v>3months</c:v>
                </c:pt>
                <c:pt idx="4">
                  <c:v>6months</c:v>
                </c:pt>
              </c:strCache>
            </c:strRef>
          </c:cat>
          <c:val>
            <c:numRef>
              <c:f>Sheet1!$C$2:$C$6</c:f>
              <c:numCache>
                <c:formatCode>General</c:formatCode>
                <c:ptCount val="5"/>
                <c:pt idx="0">
                  <c:v>16</c:v>
                </c:pt>
                <c:pt idx="1">
                  <c:v>20.05</c:v>
                </c:pt>
                <c:pt idx="2">
                  <c:v>30.05</c:v>
                </c:pt>
                <c:pt idx="3">
                  <c:v>39.25</c:v>
                </c:pt>
                <c:pt idx="4">
                  <c:v>47.1</c:v>
                </c:pt>
              </c:numCache>
            </c:numRef>
          </c:val>
          <c:extLst>
            <c:ext xmlns:c16="http://schemas.microsoft.com/office/drawing/2014/chart" uri="{C3380CC4-5D6E-409C-BE32-E72D297353CC}">
              <c16:uniqueId val="{0000000B-78C6-4A07-9E83-DDF86285BE62}"/>
            </c:ext>
          </c:extLst>
        </c:ser>
        <c:dLbls>
          <c:showLegendKey val="0"/>
          <c:showVal val="0"/>
          <c:showCatName val="0"/>
          <c:showSerName val="0"/>
          <c:showPercent val="0"/>
          <c:showBubbleSize val="0"/>
        </c:dLbls>
        <c:gapWidth val="180"/>
        <c:gapDepth val="0"/>
        <c:shape val="box"/>
        <c:axId val="733719536"/>
        <c:axId val="1"/>
        <c:axId val="0"/>
      </c:bar3DChart>
      <c:catAx>
        <c:axId val="733719536"/>
        <c:scaling>
          <c:orientation val="minMax"/>
        </c:scaling>
        <c:delete val="0"/>
        <c:axPos val="b"/>
        <c:numFmt formatCode="General" sourceLinked="1"/>
        <c:majorTickMark val="none"/>
        <c:minorTickMark val="none"/>
        <c:tickLblPos val="nextTo"/>
        <c:spPr>
          <a:ln w="6308">
            <a:noFill/>
          </a:ln>
        </c:spPr>
        <c:txPr>
          <a:bodyPr rot="-60000000" spcFirstLastPara="1" vertOverflow="ellipsis" vert="horz" wrap="square" anchor="ctr" anchorCtr="1"/>
          <a:lstStyle/>
          <a:p>
            <a:pPr>
              <a:defRPr sz="894" b="1"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462" cap="flat" cmpd="sng" algn="ctr">
              <a:solidFill>
                <a:schemeClr val="tx1">
                  <a:lumMod val="15000"/>
                  <a:lumOff val="85000"/>
                </a:schemeClr>
              </a:solidFill>
              <a:round/>
            </a:ln>
            <a:effectLst/>
          </c:spPr>
        </c:majorGridlines>
        <c:minorGridlines>
          <c:spPr>
            <a:ln w="9462" cap="flat" cmpd="sng" algn="ctr">
              <a:solidFill>
                <a:schemeClr val="tx1">
                  <a:lumMod val="5000"/>
                  <a:lumOff val="95000"/>
                </a:schemeClr>
              </a:solidFill>
              <a:round/>
            </a:ln>
            <a:effectLst/>
          </c:spPr>
        </c:minorGridlines>
        <c:numFmt formatCode="General" sourceLinked="1"/>
        <c:majorTickMark val="none"/>
        <c:minorTickMark val="none"/>
        <c:tickLblPos val="nextTo"/>
        <c:spPr>
          <a:ln w="6308">
            <a:noFill/>
          </a:ln>
        </c:spPr>
        <c:txPr>
          <a:bodyPr rot="-60000000" spcFirstLastPara="1" vertOverflow="ellipsis" vert="horz" wrap="square" anchor="ctr" anchorCtr="1"/>
          <a:lstStyle/>
          <a:p>
            <a:pPr>
              <a:defRPr sz="894" b="1" i="0" u="none" strike="noStrike" kern="1200" baseline="0">
                <a:solidFill>
                  <a:schemeClr val="tx1">
                    <a:lumMod val="65000"/>
                    <a:lumOff val="35000"/>
                  </a:schemeClr>
                </a:solidFill>
                <a:latin typeface="+mn-lt"/>
                <a:ea typeface="+mn-ea"/>
                <a:cs typeface="+mn-cs"/>
              </a:defRPr>
            </a:pPr>
            <a:endParaRPr lang="en-US"/>
          </a:p>
        </c:txPr>
        <c:crossAx val="733719536"/>
        <c:crosses val="autoZero"/>
        <c:crossBetween val="between"/>
      </c:valAx>
      <c:spPr>
        <a:noFill/>
        <a:ln w="25393">
          <a:noFill/>
        </a:ln>
      </c:spPr>
    </c:plotArea>
    <c:legend>
      <c:legendPos val="b"/>
      <c:overlay val="0"/>
      <c:spPr>
        <a:noFill/>
        <a:ln w="25234">
          <a:noFill/>
        </a:ln>
      </c:spPr>
      <c:txPr>
        <a:bodyPr rot="0" spcFirstLastPara="1" vertOverflow="ellipsis" vert="horz" wrap="square" anchor="ctr" anchorCtr="1"/>
        <a:lstStyle/>
        <a:p>
          <a:pPr>
            <a:defRPr sz="894"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462" cap="flat" cmpd="sng" algn="ctr">
      <a:solidFill>
        <a:schemeClr val="tx1">
          <a:lumMod val="15000"/>
          <a:lumOff val="85000"/>
        </a:schemeClr>
      </a:solidFill>
      <a:round/>
    </a:ln>
    <a:effectLst/>
  </c:spPr>
  <c:txPr>
    <a:bodyPr/>
    <a:lstStyle/>
    <a:p>
      <a:pPr>
        <a:defRPr b="1"/>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ECFCB-2EB4-4012-A041-EC02A56C5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10</Pages>
  <Words>10749</Words>
  <Characters>61272</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Fouad</dc:creator>
  <cp:keywords/>
  <dc:description/>
  <cp:lastModifiedBy>Mohamed Fouad</cp:lastModifiedBy>
  <cp:revision>8</cp:revision>
  <dcterms:created xsi:type="dcterms:W3CDTF">2022-06-17T17:23:00Z</dcterms:created>
  <dcterms:modified xsi:type="dcterms:W3CDTF">2022-09-16T17:17:00Z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http://csl.mendeley.com/styles/27652461/american-medical-association-2marakby2</vt:lpwstr>
  </property>
  <property fmtid="{D5CDD505-2E9C-101B-9397-08002B2CF9AE}" pid="4" name="Mendeley Unique User Id_1">
    <vt:lpwstr>0ba6bc74-01a3-3d6b-bccf-dddedc055141</vt:lpwstr>
  </property>
</Properties>
</file>